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8D" w:rsidRDefault="006906BE">
      <w:pPr>
        <w:pStyle w:val="1"/>
        <w:spacing w:line="240" w:lineRule="auto"/>
        <w:jc w:val="center"/>
        <w:rPr>
          <w:rFonts w:ascii="微软雅黑" w:eastAsia="微软雅黑" w:hAnsi="微软雅黑"/>
          <w:bCs w:val="0"/>
          <w:kern w:val="0"/>
          <w:sz w:val="32"/>
          <w:szCs w:val="32"/>
        </w:rPr>
      </w:pPr>
      <w:bookmarkStart w:id="0" w:name="_Toc31612_WPSOffice_Level1"/>
      <w:bookmarkStart w:id="1" w:name="_Toc120096116"/>
      <w:bookmarkStart w:id="2" w:name="_GoBack"/>
      <w:r>
        <w:rPr>
          <w:rFonts w:ascii="微软雅黑" w:eastAsia="微软雅黑" w:hAnsi="微软雅黑" w:hint="eastAsia"/>
          <w:bCs w:val="0"/>
          <w:kern w:val="0"/>
          <w:sz w:val="32"/>
          <w:szCs w:val="32"/>
        </w:rPr>
        <w:t>中国科学院大连化学物理研究所研究生指导教师工作条例</w:t>
      </w:r>
      <w:bookmarkEnd w:id="0"/>
      <w:bookmarkEnd w:id="1"/>
      <w:bookmarkEnd w:id="2"/>
    </w:p>
    <w:p w:rsidR="004C698D" w:rsidRDefault="006906BE">
      <w:pPr>
        <w:spacing w:line="0" w:lineRule="atLeast"/>
        <w:jc w:val="center"/>
        <w:rPr>
          <w:rFonts w:ascii="微软雅黑" w:eastAsia="微软雅黑" w:hAnsi="微软雅黑" w:cs="微软雅黑"/>
          <w:b/>
          <w:bCs/>
          <w:sz w:val="28"/>
          <w:szCs w:val="28"/>
        </w:rPr>
      </w:pPr>
      <w:bookmarkStart w:id="3" w:name="_Toc31295_WPSOffice_Level1"/>
      <w:r>
        <w:rPr>
          <w:rFonts w:ascii="微软雅黑" w:eastAsia="微软雅黑" w:hAnsi="微软雅黑" w:cs="微软雅黑" w:hint="eastAsia"/>
          <w:b/>
          <w:bCs/>
          <w:sz w:val="28"/>
          <w:szCs w:val="28"/>
        </w:rPr>
        <w:t>（2022年修订）</w:t>
      </w:r>
      <w:bookmarkEnd w:id="3"/>
    </w:p>
    <w:p w:rsidR="004C698D" w:rsidRDefault="004C698D">
      <w:pPr>
        <w:jc w:val="center"/>
        <w:rPr>
          <w:rFonts w:ascii="黑体" w:eastAsia="黑体" w:hAnsi="黑体"/>
          <w:sz w:val="32"/>
          <w:szCs w:val="36"/>
        </w:rPr>
      </w:pPr>
      <w:bookmarkStart w:id="4" w:name="_Toc21936_WPSOffice_Level1"/>
    </w:p>
    <w:p w:rsidR="004C698D" w:rsidRDefault="006906BE">
      <w:pPr>
        <w:jc w:val="center"/>
        <w:rPr>
          <w:rFonts w:ascii="黑体" w:eastAsia="黑体" w:hAnsi="黑体"/>
          <w:sz w:val="32"/>
          <w:szCs w:val="36"/>
        </w:rPr>
      </w:pPr>
      <w:bookmarkStart w:id="5" w:name="_Toc1656_WPSOffice_Level1"/>
      <w:r>
        <w:rPr>
          <w:rFonts w:ascii="黑体" w:eastAsia="黑体" w:hAnsi="黑体" w:hint="eastAsia"/>
          <w:sz w:val="32"/>
          <w:szCs w:val="36"/>
        </w:rPr>
        <w:t>第一章</w:t>
      </w:r>
      <w:r>
        <w:rPr>
          <w:rFonts w:ascii="黑体" w:eastAsia="黑体" w:hAnsi="黑体"/>
          <w:sz w:val="32"/>
          <w:szCs w:val="36"/>
        </w:rPr>
        <w:tab/>
        <w:t>总</w:t>
      </w:r>
      <w:r>
        <w:rPr>
          <w:rFonts w:ascii="黑体" w:eastAsia="黑体" w:hAnsi="黑体"/>
          <w:sz w:val="32"/>
          <w:szCs w:val="36"/>
        </w:rPr>
        <w:tab/>
        <w:t>则</w:t>
      </w:r>
      <w:bookmarkEnd w:id="4"/>
      <w:bookmarkEnd w:id="5"/>
    </w:p>
    <w:p w:rsidR="004C698D" w:rsidRDefault="006906BE">
      <w:pPr>
        <w:ind w:firstLineChars="200" w:firstLine="562"/>
        <w:rPr>
          <w:sz w:val="28"/>
          <w:szCs w:val="32"/>
        </w:rPr>
      </w:pPr>
      <w:r>
        <w:rPr>
          <w:rFonts w:hint="eastAsia"/>
          <w:b/>
          <w:bCs/>
          <w:sz w:val="28"/>
          <w:szCs w:val="32"/>
        </w:rPr>
        <w:t>第</w:t>
      </w:r>
      <w:r>
        <w:rPr>
          <w:b/>
          <w:bCs/>
          <w:sz w:val="28"/>
          <w:szCs w:val="32"/>
        </w:rPr>
        <w:t>一条</w:t>
      </w:r>
      <w:r>
        <w:rPr>
          <w:sz w:val="28"/>
          <w:szCs w:val="32"/>
        </w:rPr>
        <w:tab/>
        <w:t>为全面贯彻全国教育大会和全国研究生教育会议精</w:t>
      </w:r>
      <w:r>
        <w:rPr>
          <w:rFonts w:hint="eastAsia"/>
          <w:sz w:val="28"/>
          <w:szCs w:val="32"/>
        </w:rPr>
        <w:t>神，进一步落实研究生指导教师（以下简称“导师”）立德树人职责，强化导师岗位管理，建设一支有理想信念、道德情操、扎实学识、仁爱之心的高素质、专业化导师队伍，落实中国科学院“三个面向、四个率先”的办院方针，不断适应中国科学院大学“双一流”建设对高层次人才培养的需要，根据《教育部关于全面落实研究生导师立德树人职责的意见》（教研〔</w:t>
      </w:r>
      <w:r>
        <w:rPr>
          <w:sz w:val="28"/>
          <w:szCs w:val="32"/>
        </w:rPr>
        <w:t>2018〕1号）、《教育部关于加强博士生导师岗位管理的若干</w:t>
      </w:r>
      <w:r>
        <w:rPr>
          <w:rFonts w:hint="eastAsia"/>
          <w:sz w:val="28"/>
          <w:szCs w:val="32"/>
        </w:rPr>
        <w:t>意见》（教研〔</w:t>
      </w:r>
      <w:r>
        <w:rPr>
          <w:sz w:val="28"/>
          <w:szCs w:val="32"/>
        </w:rPr>
        <w:t>2020〕11号）</w:t>
      </w:r>
      <w:r>
        <w:rPr>
          <w:rFonts w:hint="eastAsia"/>
          <w:sz w:val="28"/>
          <w:szCs w:val="32"/>
        </w:rPr>
        <w:t>、</w:t>
      </w:r>
      <w:r>
        <w:rPr>
          <w:sz w:val="28"/>
          <w:szCs w:val="32"/>
        </w:rPr>
        <w:t>《教育部关于印发&lt;研究生导师</w:t>
      </w:r>
      <w:r>
        <w:rPr>
          <w:rFonts w:hint="eastAsia"/>
          <w:sz w:val="28"/>
          <w:szCs w:val="32"/>
        </w:rPr>
        <w:t>指导行为准则</w:t>
      </w:r>
      <w:r>
        <w:rPr>
          <w:sz w:val="28"/>
          <w:szCs w:val="32"/>
        </w:rPr>
        <w:t>&gt;的通知》（教研〔2020〕12号）</w:t>
      </w:r>
      <w:r>
        <w:rPr>
          <w:rFonts w:hint="eastAsia"/>
          <w:sz w:val="28"/>
          <w:szCs w:val="32"/>
        </w:rPr>
        <w:t>和《中国科学院大学研究生指导教师工作条例》（</w:t>
      </w:r>
      <w:proofErr w:type="gramStart"/>
      <w:r>
        <w:rPr>
          <w:rFonts w:hint="eastAsia"/>
          <w:sz w:val="28"/>
          <w:szCs w:val="32"/>
        </w:rPr>
        <w:t>校发培字</w:t>
      </w:r>
      <w:proofErr w:type="gramEnd"/>
      <w:r>
        <w:rPr>
          <w:rFonts w:hint="eastAsia"/>
          <w:sz w:val="28"/>
          <w:szCs w:val="32"/>
        </w:rPr>
        <w:t>〔2</w:t>
      </w:r>
      <w:r>
        <w:rPr>
          <w:sz w:val="28"/>
          <w:szCs w:val="32"/>
        </w:rPr>
        <w:t>013〕</w:t>
      </w:r>
      <w:r>
        <w:rPr>
          <w:rFonts w:hint="eastAsia"/>
          <w:sz w:val="28"/>
          <w:szCs w:val="32"/>
        </w:rPr>
        <w:t>2</w:t>
      </w:r>
      <w:r>
        <w:rPr>
          <w:sz w:val="28"/>
          <w:szCs w:val="32"/>
        </w:rPr>
        <w:t>0</w:t>
      </w:r>
      <w:r>
        <w:rPr>
          <w:rFonts w:hint="eastAsia"/>
          <w:sz w:val="28"/>
          <w:szCs w:val="32"/>
        </w:rPr>
        <w:t>号）</w:t>
      </w:r>
      <w:r>
        <w:rPr>
          <w:sz w:val="28"/>
          <w:szCs w:val="32"/>
        </w:rPr>
        <w:t>等相关文件精神，</w:t>
      </w:r>
      <w:r>
        <w:rPr>
          <w:rFonts w:hint="eastAsia"/>
          <w:sz w:val="28"/>
          <w:szCs w:val="32"/>
        </w:rPr>
        <w:t>结合我所实际情况，制定本条例。</w:t>
      </w:r>
    </w:p>
    <w:p w:rsidR="004C698D" w:rsidRDefault="006906BE">
      <w:pPr>
        <w:ind w:firstLineChars="200" w:firstLine="562"/>
        <w:rPr>
          <w:sz w:val="28"/>
          <w:szCs w:val="32"/>
        </w:rPr>
      </w:pPr>
      <w:r>
        <w:rPr>
          <w:rFonts w:hint="eastAsia"/>
          <w:b/>
          <w:bCs/>
          <w:sz w:val="28"/>
          <w:szCs w:val="32"/>
        </w:rPr>
        <w:t>第</w:t>
      </w:r>
      <w:r>
        <w:rPr>
          <w:b/>
          <w:bCs/>
          <w:sz w:val="28"/>
          <w:szCs w:val="32"/>
        </w:rPr>
        <w:t>二条</w:t>
      </w:r>
      <w:r>
        <w:rPr>
          <w:sz w:val="28"/>
          <w:szCs w:val="32"/>
        </w:rPr>
        <w:tab/>
        <w:t>导师是研究生培养第一责任人，负有对研究生进行思</w:t>
      </w:r>
      <w:r>
        <w:rPr>
          <w:rFonts w:hint="eastAsia"/>
          <w:sz w:val="28"/>
          <w:szCs w:val="32"/>
        </w:rPr>
        <w:t>想政治教育、学术规范训练、创新能力培养等职责。导师应以德立身、以德立学、以德施教，遵循研究生教育规律，创新研究生指导方式，全过程育人、全方位育人。</w:t>
      </w:r>
    </w:p>
    <w:p w:rsidR="004C698D" w:rsidRDefault="006906BE">
      <w:pPr>
        <w:ind w:firstLineChars="200" w:firstLine="562"/>
        <w:rPr>
          <w:sz w:val="28"/>
          <w:szCs w:val="32"/>
        </w:rPr>
      </w:pPr>
      <w:r>
        <w:rPr>
          <w:rFonts w:hint="eastAsia"/>
          <w:b/>
          <w:bCs/>
          <w:sz w:val="28"/>
          <w:szCs w:val="32"/>
        </w:rPr>
        <w:t>第</w:t>
      </w:r>
      <w:r>
        <w:rPr>
          <w:b/>
          <w:bCs/>
          <w:sz w:val="28"/>
          <w:szCs w:val="32"/>
        </w:rPr>
        <w:t>三条</w:t>
      </w:r>
      <w:r>
        <w:rPr>
          <w:sz w:val="28"/>
          <w:szCs w:val="32"/>
        </w:rPr>
        <w:tab/>
      </w:r>
      <w:r>
        <w:rPr>
          <w:rFonts w:hint="eastAsia"/>
          <w:sz w:val="28"/>
          <w:szCs w:val="32"/>
        </w:rPr>
        <w:t>我所学位评定委员会</w:t>
      </w:r>
      <w:r>
        <w:rPr>
          <w:sz w:val="28"/>
          <w:szCs w:val="32"/>
        </w:rPr>
        <w:t>是导师岗位管理工作的责任主体，负责</w:t>
      </w:r>
      <w:r>
        <w:rPr>
          <w:rFonts w:hint="eastAsia"/>
          <w:sz w:val="28"/>
          <w:szCs w:val="32"/>
        </w:rPr>
        <w:t>研究生导师遴选、聘任、培训、考核、奖惩、招生资格年度动态审核等工作；</w:t>
      </w:r>
      <w:r>
        <w:rPr>
          <w:rFonts w:hint="eastAsia"/>
          <w:sz w:val="28"/>
          <w:szCs w:val="32"/>
        </w:rPr>
        <w:lastRenderedPageBreak/>
        <w:t>各学科组负责导师资格初评工作；研究生部负责上述具体工作组织、实施及导师日常管理工作。</w:t>
      </w:r>
    </w:p>
    <w:p w:rsidR="004C698D" w:rsidRDefault="006906BE">
      <w:pPr>
        <w:ind w:firstLineChars="200" w:firstLine="562"/>
        <w:rPr>
          <w:sz w:val="28"/>
          <w:szCs w:val="32"/>
        </w:rPr>
      </w:pPr>
      <w:r>
        <w:rPr>
          <w:rFonts w:hint="eastAsia"/>
          <w:b/>
          <w:bCs/>
          <w:sz w:val="28"/>
          <w:szCs w:val="32"/>
        </w:rPr>
        <w:t>第四条</w:t>
      </w:r>
      <w:r>
        <w:rPr>
          <w:sz w:val="28"/>
          <w:szCs w:val="32"/>
        </w:rPr>
        <w:tab/>
      </w:r>
      <w:r>
        <w:rPr>
          <w:rFonts w:hint="eastAsia"/>
          <w:sz w:val="28"/>
          <w:szCs w:val="32"/>
        </w:rPr>
        <w:t>我所学位评定委员会、各学科组、研究生部应相互配合，着力加强导师队伍的师德建设和业务培训，提供导师履行职责的工作条件，保障导师的合法权益。按照科研导向和任务导向的原则，切实实行导师岗位责任制，建立有效的动态管理机制。</w:t>
      </w:r>
    </w:p>
    <w:p w:rsidR="004C698D" w:rsidRDefault="006906BE">
      <w:pPr>
        <w:jc w:val="center"/>
        <w:rPr>
          <w:rFonts w:ascii="黑体" w:eastAsia="黑体" w:hAnsi="黑体"/>
          <w:sz w:val="32"/>
          <w:szCs w:val="36"/>
        </w:rPr>
      </w:pPr>
      <w:bookmarkStart w:id="6" w:name="_Toc29506_WPSOffice_Level1"/>
      <w:bookmarkStart w:id="7" w:name="_Toc21248_WPSOffice_Level1"/>
      <w:r>
        <w:rPr>
          <w:rFonts w:ascii="黑体" w:eastAsia="黑体" w:hAnsi="黑体" w:hint="eastAsia"/>
          <w:sz w:val="32"/>
          <w:szCs w:val="36"/>
        </w:rPr>
        <w:t>第二章</w:t>
      </w:r>
      <w:r>
        <w:rPr>
          <w:rFonts w:ascii="黑体" w:eastAsia="黑体" w:hAnsi="黑体"/>
          <w:sz w:val="32"/>
          <w:szCs w:val="36"/>
        </w:rPr>
        <w:tab/>
        <w:t>基本要求</w:t>
      </w:r>
      <w:bookmarkEnd w:id="6"/>
      <w:bookmarkEnd w:id="7"/>
    </w:p>
    <w:p w:rsidR="004C698D" w:rsidRDefault="006906BE">
      <w:pPr>
        <w:ind w:firstLineChars="200" w:firstLine="562"/>
        <w:rPr>
          <w:sz w:val="28"/>
          <w:szCs w:val="28"/>
        </w:rPr>
      </w:pPr>
      <w:r>
        <w:rPr>
          <w:rFonts w:hint="eastAsia"/>
          <w:b/>
          <w:bCs/>
          <w:sz w:val="28"/>
          <w:szCs w:val="28"/>
        </w:rPr>
        <w:t>第五</w:t>
      </w:r>
      <w:r>
        <w:rPr>
          <w:b/>
          <w:bCs/>
          <w:sz w:val="28"/>
          <w:szCs w:val="28"/>
        </w:rPr>
        <w:t>条</w:t>
      </w:r>
      <w:r>
        <w:rPr>
          <w:sz w:val="28"/>
          <w:szCs w:val="28"/>
        </w:rPr>
        <w:tab/>
      </w:r>
      <w:r>
        <w:rPr>
          <w:rFonts w:hint="eastAsia"/>
          <w:sz w:val="28"/>
          <w:szCs w:val="28"/>
        </w:rPr>
        <w:t>政治素质过硬。坚持正确的政治方向，具有高度的政治责任感，自觉将思想教育与专业教育有机统一，是社会主义核心价值观的坚定信仰者、积极传播者、模范实践者。</w:t>
      </w:r>
    </w:p>
    <w:p w:rsidR="004C698D" w:rsidRDefault="006906BE">
      <w:pPr>
        <w:shd w:val="clear" w:color="auto" w:fill="FFFFFF"/>
        <w:spacing w:line="480" w:lineRule="atLeast"/>
        <w:ind w:firstLineChars="200" w:firstLine="562"/>
        <w:rPr>
          <w:sz w:val="28"/>
          <w:szCs w:val="28"/>
        </w:rPr>
      </w:pPr>
      <w:r>
        <w:rPr>
          <w:rFonts w:hint="eastAsia"/>
          <w:b/>
          <w:bCs/>
          <w:sz w:val="28"/>
          <w:szCs w:val="28"/>
        </w:rPr>
        <w:t>第六</w:t>
      </w:r>
      <w:r>
        <w:rPr>
          <w:b/>
          <w:bCs/>
          <w:sz w:val="28"/>
          <w:szCs w:val="28"/>
        </w:rPr>
        <w:t>条</w:t>
      </w:r>
      <w:r>
        <w:rPr>
          <w:sz w:val="28"/>
          <w:szCs w:val="28"/>
        </w:rPr>
        <w:tab/>
      </w:r>
      <w:r>
        <w:rPr>
          <w:rFonts w:hint="eastAsia"/>
          <w:sz w:val="28"/>
          <w:szCs w:val="28"/>
        </w:rPr>
        <w:t>师德师风高尚。模范遵守教师职业道德规范，为人师表，爱岗敬业；谨遵学术规范，恪守学术道德，自觉维护公平正义和风清气正的学术环境；有责任心和使命感，尽职尽责，确保足够的时间和精力及时给予研究生启发和指导。</w:t>
      </w:r>
    </w:p>
    <w:p w:rsidR="004C698D" w:rsidRDefault="006906BE">
      <w:pPr>
        <w:ind w:firstLineChars="200" w:firstLine="562"/>
        <w:rPr>
          <w:sz w:val="28"/>
          <w:szCs w:val="28"/>
        </w:rPr>
      </w:pPr>
      <w:r>
        <w:rPr>
          <w:rFonts w:hint="eastAsia"/>
          <w:b/>
          <w:bCs/>
          <w:sz w:val="28"/>
          <w:szCs w:val="28"/>
        </w:rPr>
        <w:t>第七</w:t>
      </w:r>
      <w:r>
        <w:rPr>
          <w:b/>
          <w:bCs/>
          <w:sz w:val="28"/>
          <w:szCs w:val="28"/>
        </w:rPr>
        <w:t>条</w:t>
      </w:r>
      <w:r>
        <w:rPr>
          <w:sz w:val="28"/>
          <w:szCs w:val="28"/>
        </w:rPr>
        <w:tab/>
      </w:r>
      <w:r>
        <w:rPr>
          <w:rFonts w:hint="eastAsia"/>
          <w:sz w:val="28"/>
          <w:szCs w:val="28"/>
        </w:rPr>
        <w:t>业务素质精湛。具有深厚的学术造诣和执着的学术追求，关注国家重大需求，推动知识文化传承发展；秉承先进教育理念，重视课程前沿引领，创新教学模式，丰富教学手段；不断提升指导能力，着力培养研究生创新能力。</w:t>
      </w:r>
    </w:p>
    <w:p w:rsidR="004C698D" w:rsidRDefault="006906BE">
      <w:pPr>
        <w:ind w:firstLineChars="200" w:firstLine="562"/>
        <w:rPr>
          <w:sz w:val="28"/>
          <w:szCs w:val="28"/>
        </w:rPr>
      </w:pPr>
      <w:r>
        <w:rPr>
          <w:rFonts w:hint="eastAsia"/>
          <w:b/>
          <w:bCs/>
          <w:sz w:val="28"/>
          <w:szCs w:val="28"/>
        </w:rPr>
        <w:t>第八</w:t>
      </w:r>
      <w:r>
        <w:rPr>
          <w:b/>
          <w:bCs/>
          <w:sz w:val="28"/>
          <w:szCs w:val="28"/>
        </w:rPr>
        <w:t>条</w:t>
      </w:r>
      <w:r>
        <w:rPr>
          <w:sz w:val="28"/>
          <w:szCs w:val="28"/>
        </w:rPr>
        <w:tab/>
        <w:t>参加导师培训。完成规定培训要求是导师上岗、具备</w:t>
      </w:r>
      <w:r>
        <w:rPr>
          <w:rFonts w:hint="eastAsia"/>
          <w:sz w:val="28"/>
          <w:szCs w:val="28"/>
        </w:rPr>
        <w:t>招生资格的前置条件。导师要积极参加国科大及我所组织的导师培训和教育工作研讨，加强自身师德师风建设，不断提升自身业务素质及指导能力，更好地担负起研究生健康成长指导者和引路人的责任。</w:t>
      </w:r>
    </w:p>
    <w:p w:rsidR="004C698D" w:rsidRDefault="006906BE">
      <w:pPr>
        <w:jc w:val="center"/>
        <w:rPr>
          <w:rFonts w:ascii="黑体" w:eastAsia="黑体" w:hAnsi="黑体"/>
          <w:sz w:val="32"/>
          <w:szCs w:val="36"/>
        </w:rPr>
      </w:pPr>
      <w:bookmarkStart w:id="8" w:name="_Toc10952_WPSOffice_Level1"/>
      <w:bookmarkStart w:id="9" w:name="_Toc18080_WPSOffice_Level1"/>
      <w:r>
        <w:rPr>
          <w:rFonts w:ascii="黑体" w:eastAsia="黑体" w:hAnsi="黑体" w:hint="eastAsia"/>
          <w:sz w:val="32"/>
          <w:szCs w:val="36"/>
        </w:rPr>
        <w:lastRenderedPageBreak/>
        <w:t>第三章</w:t>
      </w:r>
      <w:r>
        <w:rPr>
          <w:rFonts w:ascii="黑体" w:eastAsia="黑体" w:hAnsi="黑体"/>
          <w:sz w:val="32"/>
          <w:szCs w:val="36"/>
        </w:rPr>
        <w:tab/>
        <w:t>岗位职责</w:t>
      </w:r>
      <w:bookmarkEnd w:id="8"/>
      <w:bookmarkEnd w:id="9"/>
    </w:p>
    <w:p w:rsidR="004C698D" w:rsidRDefault="006906BE">
      <w:pPr>
        <w:ind w:firstLineChars="200" w:firstLine="562"/>
        <w:rPr>
          <w:sz w:val="28"/>
          <w:szCs w:val="32"/>
        </w:rPr>
      </w:pPr>
      <w:r>
        <w:rPr>
          <w:rFonts w:hint="eastAsia"/>
          <w:b/>
          <w:bCs/>
          <w:sz w:val="28"/>
          <w:szCs w:val="32"/>
        </w:rPr>
        <w:t>第九</w:t>
      </w:r>
      <w:r>
        <w:rPr>
          <w:b/>
          <w:bCs/>
          <w:sz w:val="28"/>
          <w:szCs w:val="32"/>
        </w:rPr>
        <w:t>条</w:t>
      </w:r>
      <w:r>
        <w:rPr>
          <w:sz w:val="28"/>
          <w:szCs w:val="32"/>
        </w:rPr>
        <w:tab/>
      </w:r>
      <w:r>
        <w:rPr>
          <w:rFonts w:hint="eastAsia"/>
          <w:sz w:val="28"/>
          <w:szCs w:val="32"/>
        </w:rPr>
        <w:t>提升研究生思想政治素质</w:t>
      </w:r>
      <w:r>
        <w:rPr>
          <w:sz w:val="28"/>
          <w:szCs w:val="32"/>
        </w:rPr>
        <w:t>。导师负有对研究生进行思想政</w:t>
      </w:r>
      <w:r>
        <w:rPr>
          <w:rFonts w:hint="eastAsia"/>
          <w:sz w:val="28"/>
          <w:szCs w:val="32"/>
        </w:rPr>
        <w:t>治教育的首要责任，要积极引导研究生树立正确的世界观、人生观、价值观，既做学业导师又做德育导师；定期与所指导的研究生开展深入的思想交流，及时掌握研究生思想动态、对时事政治和敏感问题的看法和认识，有针对性地帮助研究生解决思想上的困惑，引导并坚定研究生为共产主义远大理想和中国特色社会主义共同理想而奋斗的信念；密切关注并主动做好研究生意识形态工作，严格规范研究生日常管理。研究生出现特殊问题或发生突发事件，</w:t>
      </w:r>
      <w:proofErr w:type="gramStart"/>
      <w:r>
        <w:rPr>
          <w:rFonts w:hint="eastAsia"/>
          <w:sz w:val="28"/>
          <w:szCs w:val="32"/>
        </w:rPr>
        <w:t>导师须第一时间</w:t>
      </w:r>
      <w:proofErr w:type="gramEnd"/>
      <w:r>
        <w:rPr>
          <w:rFonts w:hint="eastAsia"/>
          <w:sz w:val="28"/>
          <w:szCs w:val="32"/>
        </w:rPr>
        <w:t>与辅导员沟通解决方案，并及时通报研究生部</w:t>
      </w:r>
      <w:r>
        <w:rPr>
          <w:sz w:val="28"/>
          <w:szCs w:val="32"/>
        </w:rPr>
        <w:t>。</w:t>
      </w:r>
    </w:p>
    <w:p w:rsidR="004C698D" w:rsidRDefault="006906BE">
      <w:pPr>
        <w:ind w:firstLineChars="200" w:firstLine="562"/>
        <w:rPr>
          <w:sz w:val="28"/>
          <w:szCs w:val="28"/>
        </w:rPr>
      </w:pPr>
      <w:r>
        <w:rPr>
          <w:rFonts w:hint="eastAsia"/>
          <w:b/>
          <w:bCs/>
          <w:sz w:val="28"/>
          <w:szCs w:val="28"/>
        </w:rPr>
        <w:t>第十条</w:t>
      </w:r>
      <w:r>
        <w:rPr>
          <w:sz w:val="28"/>
          <w:szCs w:val="28"/>
        </w:rPr>
        <w:tab/>
      </w:r>
      <w:r>
        <w:rPr>
          <w:rFonts w:hint="eastAsia"/>
          <w:sz w:val="28"/>
          <w:szCs w:val="28"/>
        </w:rPr>
        <w:t>增强研究生社会责任感。</w:t>
      </w:r>
      <w:bookmarkStart w:id="10" w:name="_Hlk104666480"/>
      <w:r>
        <w:rPr>
          <w:rFonts w:hint="eastAsia"/>
          <w:sz w:val="28"/>
          <w:szCs w:val="28"/>
        </w:rPr>
        <w:t>鼓励研究生将个人的发展进步与国家和民族的发展需要相结合，</w:t>
      </w:r>
      <w:bookmarkEnd w:id="10"/>
      <w:r>
        <w:rPr>
          <w:rFonts w:hint="eastAsia"/>
          <w:sz w:val="28"/>
          <w:szCs w:val="28"/>
        </w:rPr>
        <w:t>为国家富强和民族复兴贡献智慧和力量；支持和鼓励研究生参与各种社会实践和志愿服务活动，在服务人民与奉献社会的过程中实现自己的人生价值；结合学科专业教育研究生了解研究所历史、学科发展史、老一辈科学家奋斗史、新时代优秀科学家的创新事迹，培养研究生的家国情怀，拓宽研究生的国际视野。</w:t>
      </w:r>
    </w:p>
    <w:p w:rsidR="004C698D" w:rsidRDefault="006906BE">
      <w:pPr>
        <w:ind w:firstLineChars="200" w:firstLine="562"/>
        <w:rPr>
          <w:sz w:val="28"/>
          <w:szCs w:val="32"/>
        </w:rPr>
      </w:pPr>
      <w:r>
        <w:rPr>
          <w:rFonts w:hint="eastAsia"/>
          <w:b/>
          <w:bCs/>
          <w:sz w:val="28"/>
          <w:szCs w:val="32"/>
        </w:rPr>
        <w:t>第十一条</w:t>
      </w:r>
      <w:r>
        <w:rPr>
          <w:sz w:val="28"/>
          <w:szCs w:val="32"/>
        </w:rPr>
        <w:tab/>
      </w:r>
      <w:r>
        <w:rPr>
          <w:rFonts w:hint="eastAsia"/>
          <w:sz w:val="28"/>
          <w:szCs w:val="32"/>
        </w:rPr>
        <w:t>注重对研究生安全教育、人文关怀和心理疏导。加强对研究生的实验室安全教育和检查，使研究生养成良好的实验室安全操作习惯；关注研究生心理健康，加强人文关怀和心理疏导，不断提升研究生敢于面对困难挫折的良好心理素质；与研究生建立良好的互动机制，了解研究生学习、生活、居住情况，关注研究生的学业压力，营造良好的学习氛围，提供相应的支持和鼓励。</w:t>
      </w:r>
    </w:p>
    <w:p w:rsidR="004C698D" w:rsidRDefault="006906BE">
      <w:pPr>
        <w:ind w:firstLineChars="200" w:firstLine="562"/>
        <w:rPr>
          <w:sz w:val="28"/>
          <w:szCs w:val="28"/>
        </w:rPr>
      </w:pPr>
      <w:r>
        <w:rPr>
          <w:rFonts w:hint="eastAsia"/>
          <w:b/>
          <w:bCs/>
          <w:sz w:val="28"/>
          <w:szCs w:val="28"/>
        </w:rPr>
        <w:lastRenderedPageBreak/>
        <w:t>第</w:t>
      </w:r>
      <w:r>
        <w:rPr>
          <w:b/>
          <w:bCs/>
          <w:sz w:val="28"/>
          <w:szCs w:val="28"/>
        </w:rPr>
        <w:t>十</w:t>
      </w:r>
      <w:r>
        <w:rPr>
          <w:rFonts w:hint="eastAsia"/>
          <w:b/>
          <w:bCs/>
          <w:sz w:val="28"/>
          <w:szCs w:val="28"/>
        </w:rPr>
        <w:t>二</w:t>
      </w:r>
      <w:r>
        <w:rPr>
          <w:b/>
          <w:bCs/>
          <w:sz w:val="28"/>
          <w:szCs w:val="28"/>
        </w:rPr>
        <w:t>条</w:t>
      </w:r>
      <w:r>
        <w:rPr>
          <w:sz w:val="28"/>
          <w:szCs w:val="28"/>
        </w:rPr>
        <w:tab/>
        <w:t>教导研究生恪守学术规范。</w:t>
      </w:r>
      <w:r>
        <w:rPr>
          <w:rFonts w:hint="eastAsia"/>
          <w:sz w:val="28"/>
          <w:szCs w:val="28"/>
        </w:rPr>
        <w:t>在研究生培养的各个环节，培养研究生严谨治学、求真务实的科学精神，自觉遵守科研诚信与学术道德，自觉维护学术事业的神圣性、纯洁性与严肃性，自觉遵守各项保密管理规定；杜绝抄袭剽窃、数据作假等学术不端行为；培养研究生尊重他人劳动成果，提高知识产权保护意识。亲自审核研究生研究成果的科学性、创新性与真实性。</w:t>
      </w:r>
    </w:p>
    <w:p w:rsidR="004C698D" w:rsidRDefault="006906BE">
      <w:pPr>
        <w:ind w:firstLineChars="200" w:firstLine="562"/>
        <w:rPr>
          <w:sz w:val="28"/>
          <w:szCs w:val="32"/>
        </w:rPr>
      </w:pPr>
      <w:r>
        <w:rPr>
          <w:rFonts w:hint="eastAsia"/>
          <w:b/>
          <w:bCs/>
          <w:sz w:val="28"/>
          <w:szCs w:val="32"/>
        </w:rPr>
        <w:t>第</w:t>
      </w:r>
      <w:r>
        <w:rPr>
          <w:b/>
          <w:bCs/>
          <w:sz w:val="28"/>
          <w:szCs w:val="32"/>
        </w:rPr>
        <w:t>十</w:t>
      </w:r>
      <w:r>
        <w:rPr>
          <w:rFonts w:hint="eastAsia"/>
          <w:b/>
          <w:bCs/>
          <w:sz w:val="28"/>
          <w:szCs w:val="32"/>
        </w:rPr>
        <w:t>三</w:t>
      </w:r>
      <w:r>
        <w:rPr>
          <w:b/>
          <w:bCs/>
          <w:sz w:val="28"/>
          <w:szCs w:val="32"/>
        </w:rPr>
        <w:t>条</w:t>
      </w:r>
      <w:r>
        <w:rPr>
          <w:sz w:val="28"/>
          <w:szCs w:val="32"/>
        </w:rPr>
        <w:tab/>
        <w:t>加强研究生培养过程指导。</w:t>
      </w:r>
      <w:r>
        <w:rPr>
          <w:rFonts w:hint="eastAsia"/>
          <w:sz w:val="28"/>
          <w:szCs w:val="32"/>
        </w:rPr>
        <w:t>参与制定本学科的研究生培养方案，</w:t>
      </w:r>
      <w:r>
        <w:rPr>
          <w:sz w:val="28"/>
          <w:szCs w:val="32"/>
        </w:rPr>
        <w:t>根据</w:t>
      </w:r>
      <w:r>
        <w:rPr>
          <w:rFonts w:hint="eastAsia"/>
          <w:sz w:val="28"/>
          <w:szCs w:val="32"/>
        </w:rPr>
        <w:t>研究生实际情况制定培养计划；引导研究生跟踪学科前沿，直面学术问题，开拓学术视野，在学术研究上开展创新性工作；培养研究生提出问题、分析问题和解决问题的能力，强化理论与实践相结合，支持和指导研究生将科研成果转化实际应用；定期与研究生进行学术讨论与指导，掌握和检查研究生科研和学位论文进展情况；严格学业管理，及时督促指导研究生完成课程学习、科学研究、专业实习实践和学位论文写作等任务；把好研究生学位论文开题、中期和答辩等过程质量关；对未按计划完成阶段性工作的论文，要督促研究生加快进度；对存在较严重问题的论文，要及时调整方案，做出适当处理。</w:t>
      </w:r>
    </w:p>
    <w:p w:rsidR="004C698D" w:rsidRDefault="006906BE">
      <w:pPr>
        <w:ind w:firstLineChars="200" w:firstLine="562"/>
        <w:rPr>
          <w:sz w:val="28"/>
          <w:szCs w:val="32"/>
        </w:rPr>
      </w:pPr>
      <w:r>
        <w:rPr>
          <w:rFonts w:hint="eastAsia"/>
          <w:b/>
          <w:bCs/>
          <w:sz w:val="28"/>
          <w:szCs w:val="32"/>
        </w:rPr>
        <w:t>第</w:t>
      </w:r>
      <w:r>
        <w:rPr>
          <w:b/>
          <w:bCs/>
          <w:sz w:val="28"/>
          <w:szCs w:val="32"/>
        </w:rPr>
        <w:t>十</w:t>
      </w:r>
      <w:r>
        <w:rPr>
          <w:rFonts w:hint="eastAsia"/>
          <w:b/>
          <w:bCs/>
          <w:sz w:val="28"/>
          <w:szCs w:val="32"/>
        </w:rPr>
        <w:t>四</w:t>
      </w:r>
      <w:r>
        <w:rPr>
          <w:b/>
          <w:bCs/>
          <w:sz w:val="28"/>
          <w:szCs w:val="32"/>
        </w:rPr>
        <w:t>条</w:t>
      </w:r>
      <w:r>
        <w:rPr>
          <w:sz w:val="28"/>
          <w:szCs w:val="32"/>
        </w:rPr>
        <w:tab/>
        <w:t>优化研究生培养条件。</w:t>
      </w:r>
      <w:r>
        <w:rPr>
          <w:rFonts w:hint="eastAsia"/>
          <w:sz w:val="28"/>
          <w:szCs w:val="32"/>
        </w:rPr>
        <w:t>鼓励研究生参与社会实践、国内外学术交流和课题研究，按规定为研究生学习生活提供经费支持。承担研究生的教学任务和专题讲座，编纂研究生教材；配合协助研究生部做好研究生的各项管理和阶段性考核工作，评定学生品行和学业成绩。</w:t>
      </w:r>
    </w:p>
    <w:p w:rsidR="004C698D" w:rsidRDefault="006906BE">
      <w:pPr>
        <w:ind w:firstLineChars="200" w:firstLine="562"/>
        <w:rPr>
          <w:sz w:val="28"/>
          <w:szCs w:val="28"/>
        </w:rPr>
      </w:pPr>
      <w:r>
        <w:rPr>
          <w:rFonts w:hint="eastAsia"/>
          <w:b/>
          <w:bCs/>
          <w:sz w:val="28"/>
          <w:szCs w:val="28"/>
        </w:rPr>
        <w:lastRenderedPageBreak/>
        <w:t>第</w:t>
      </w:r>
      <w:r>
        <w:rPr>
          <w:b/>
          <w:bCs/>
          <w:sz w:val="28"/>
          <w:szCs w:val="28"/>
        </w:rPr>
        <w:t>十</w:t>
      </w:r>
      <w:r>
        <w:rPr>
          <w:rFonts w:hint="eastAsia"/>
          <w:b/>
          <w:bCs/>
          <w:sz w:val="28"/>
          <w:szCs w:val="28"/>
        </w:rPr>
        <w:t>五</w:t>
      </w:r>
      <w:r>
        <w:rPr>
          <w:b/>
          <w:bCs/>
          <w:sz w:val="28"/>
          <w:szCs w:val="28"/>
        </w:rPr>
        <w:t>条</w:t>
      </w:r>
      <w:r>
        <w:rPr>
          <w:sz w:val="28"/>
          <w:szCs w:val="28"/>
        </w:rPr>
        <w:tab/>
        <w:t>模范遵守教育部《研究生导师指导行为准则》（教</w:t>
      </w:r>
      <w:r>
        <w:rPr>
          <w:rFonts w:hint="eastAsia"/>
          <w:sz w:val="28"/>
          <w:szCs w:val="28"/>
        </w:rPr>
        <w:t>研〔</w:t>
      </w:r>
      <w:r>
        <w:rPr>
          <w:sz w:val="28"/>
          <w:szCs w:val="28"/>
        </w:rPr>
        <w:t>2020〕12号），杜绝《教育部关于建立健全高校师德建设长效</w:t>
      </w:r>
      <w:r>
        <w:rPr>
          <w:rFonts w:hint="eastAsia"/>
          <w:sz w:val="28"/>
          <w:szCs w:val="28"/>
        </w:rPr>
        <w:t>机制的意见》（教师〔</w:t>
      </w:r>
      <w:r>
        <w:rPr>
          <w:sz w:val="28"/>
          <w:szCs w:val="28"/>
        </w:rPr>
        <w:t>2014〕12号）中划定的违反师德行为发生。</w:t>
      </w:r>
    </w:p>
    <w:p w:rsidR="004C698D" w:rsidRDefault="006906BE">
      <w:pPr>
        <w:jc w:val="center"/>
        <w:rPr>
          <w:rFonts w:ascii="黑体" w:eastAsia="黑体" w:hAnsi="黑体"/>
          <w:sz w:val="32"/>
          <w:szCs w:val="36"/>
        </w:rPr>
      </w:pPr>
      <w:bookmarkStart w:id="11" w:name="_Toc13238_WPSOffice_Level1"/>
      <w:bookmarkStart w:id="12" w:name="_Toc15107_WPSOffice_Level1"/>
      <w:r>
        <w:rPr>
          <w:rFonts w:ascii="黑体" w:eastAsia="黑体" w:hAnsi="黑体" w:hint="eastAsia"/>
          <w:sz w:val="32"/>
          <w:szCs w:val="36"/>
        </w:rPr>
        <w:t>第四章</w:t>
      </w:r>
      <w:r>
        <w:rPr>
          <w:rFonts w:ascii="黑体" w:eastAsia="黑体" w:hAnsi="黑体" w:hint="eastAsia"/>
          <w:sz w:val="32"/>
          <w:szCs w:val="36"/>
        </w:rPr>
        <w:tab/>
        <w:t>岗位</w:t>
      </w:r>
      <w:r>
        <w:rPr>
          <w:rFonts w:ascii="黑体" w:eastAsia="黑体" w:hAnsi="黑体"/>
          <w:sz w:val="32"/>
          <w:szCs w:val="36"/>
        </w:rPr>
        <w:t>权利</w:t>
      </w:r>
      <w:bookmarkEnd w:id="11"/>
      <w:bookmarkEnd w:id="12"/>
    </w:p>
    <w:p w:rsidR="004C698D" w:rsidRDefault="006906BE">
      <w:pPr>
        <w:ind w:firstLineChars="200" w:firstLine="562"/>
        <w:rPr>
          <w:sz w:val="28"/>
          <w:szCs w:val="32"/>
        </w:rPr>
      </w:pPr>
      <w:r>
        <w:rPr>
          <w:rFonts w:hint="eastAsia"/>
          <w:b/>
          <w:bCs/>
          <w:sz w:val="28"/>
          <w:szCs w:val="32"/>
        </w:rPr>
        <w:t>第</w:t>
      </w:r>
      <w:r>
        <w:rPr>
          <w:b/>
          <w:bCs/>
          <w:sz w:val="28"/>
          <w:szCs w:val="32"/>
        </w:rPr>
        <w:t>十</w:t>
      </w:r>
      <w:r>
        <w:rPr>
          <w:rFonts w:hint="eastAsia"/>
          <w:b/>
          <w:bCs/>
          <w:sz w:val="28"/>
          <w:szCs w:val="32"/>
        </w:rPr>
        <w:t>六</w:t>
      </w:r>
      <w:r>
        <w:rPr>
          <w:b/>
          <w:bCs/>
          <w:sz w:val="28"/>
          <w:szCs w:val="32"/>
        </w:rPr>
        <w:t>条</w:t>
      </w:r>
      <w:r>
        <w:rPr>
          <w:sz w:val="28"/>
          <w:szCs w:val="32"/>
        </w:rPr>
        <w:tab/>
      </w:r>
      <w:r>
        <w:rPr>
          <w:rFonts w:hint="eastAsia"/>
          <w:sz w:val="28"/>
          <w:szCs w:val="32"/>
        </w:rPr>
        <w:t>招生</w:t>
      </w:r>
      <w:r>
        <w:rPr>
          <w:sz w:val="28"/>
          <w:szCs w:val="32"/>
        </w:rPr>
        <w:t>选拔权。在符合师生互选原则及相关规定的</w:t>
      </w:r>
      <w:r>
        <w:rPr>
          <w:rFonts w:hint="eastAsia"/>
          <w:sz w:val="28"/>
          <w:szCs w:val="32"/>
        </w:rPr>
        <w:t>基础上，导师有权选择指导的研究生。</w:t>
      </w:r>
    </w:p>
    <w:p w:rsidR="004C698D" w:rsidRDefault="006906BE">
      <w:pPr>
        <w:ind w:firstLineChars="200" w:firstLine="562"/>
        <w:rPr>
          <w:sz w:val="28"/>
          <w:szCs w:val="32"/>
        </w:rPr>
      </w:pPr>
      <w:r>
        <w:rPr>
          <w:rFonts w:hint="eastAsia"/>
          <w:b/>
          <w:bCs/>
          <w:sz w:val="28"/>
          <w:szCs w:val="32"/>
        </w:rPr>
        <w:t>第</w:t>
      </w:r>
      <w:r>
        <w:rPr>
          <w:b/>
          <w:bCs/>
          <w:sz w:val="28"/>
          <w:szCs w:val="32"/>
        </w:rPr>
        <w:t>十</w:t>
      </w:r>
      <w:r>
        <w:rPr>
          <w:rFonts w:hint="eastAsia"/>
          <w:b/>
          <w:bCs/>
          <w:sz w:val="28"/>
          <w:szCs w:val="32"/>
        </w:rPr>
        <w:t>七</w:t>
      </w:r>
      <w:r>
        <w:rPr>
          <w:b/>
          <w:bCs/>
          <w:sz w:val="28"/>
          <w:szCs w:val="32"/>
        </w:rPr>
        <w:t>条</w:t>
      </w:r>
      <w:r>
        <w:rPr>
          <w:sz w:val="28"/>
          <w:szCs w:val="32"/>
        </w:rPr>
        <w:tab/>
        <w:t>培养自主权。</w:t>
      </w:r>
      <w:r>
        <w:rPr>
          <w:rFonts w:hint="eastAsia"/>
          <w:sz w:val="28"/>
          <w:szCs w:val="32"/>
        </w:rPr>
        <w:t>导师有权根据研究生研究方向申请聘任副导师共同指导，报研究生部备案；导师有权根据相关规定及研究生的学业状况向研究生部提出调整培养计划、提前或延迟毕业的申请或建议；对不宜继续培养或学业不合格的研究生，导师有权向研究生部提出处理申请或建议；导师对研究生在学期间的学术成果投稿、署名、送审、申报等有决定权。鼓励有条件的团队实施导师组联合培养，促进学科交叉。</w:t>
      </w:r>
    </w:p>
    <w:p w:rsidR="004C698D" w:rsidRDefault="006906BE">
      <w:pPr>
        <w:ind w:firstLineChars="200" w:firstLine="562"/>
        <w:rPr>
          <w:sz w:val="28"/>
          <w:szCs w:val="32"/>
        </w:rPr>
      </w:pPr>
      <w:r>
        <w:rPr>
          <w:rFonts w:hint="eastAsia"/>
          <w:b/>
          <w:bCs/>
          <w:sz w:val="28"/>
          <w:szCs w:val="32"/>
        </w:rPr>
        <w:t>第</w:t>
      </w:r>
      <w:r>
        <w:rPr>
          <w:b/>
          <w:bCs/>
          <w:sz w:val="28"/>
          <w:szCs w:val="32"/>
        </w:rPr>
        <w:t>十</w:t>
      </w:r>
      <w:r>
        <w:rPr>
          <w:rFonts w:hint="eastAsia"/>
          <w:b/>
          <w:bCs/>
          <w:sz w:val="28"/>
          <w:szCs w:val="32"/>
        </w:rPr>
        <w:t>八</w:t>
      </w:r>
      <w:r>
        <w:rPr>
          <w:b/>
          <w:bCs/>
          <w:sz w:val="28"/>
          <w:szCs w:val="32"/>
        </w:rPr>
        <w:t>条</w:t>
      </w:r>
      <w:r>
        <w:rPr>
          <w:sz w:val="28"/>
          <w:szCs w:val="32"/>
        </w:rPr>
        <w:tab/>
        <w:t>推荐评价权。导师对研究生评优等各类事项申请具</w:t>
      </w:r>
      <w:r>
        <w:rPr>
          <w:rFonts w:hint="eastAsia"/>
          <w:sz w:val="28"/>
          <w:szCs w:val="32"/>
        </w:rPr>
        <w:t>有知情权、发言权和参与权。</w:t>
      </w:r>
    </w:p>
    <w:p w:rsidR="004C698D" w:rsidRDefault="006906BE">
      <w:pPr>
        <w:ind w:firstLineChars="200" w:firstLine="562"/>
        <w:rPr>
          <w:sz w:val="28"/>
          <w:szCs w:val="32"/>
        </w:rPr>
      </w:pPr>
      <w:r>
        <w:rPr>
          <w:rFonts w:hint="eastAsia"/>
          <w:b/>
          <w:bCs/>
          <w:sz w:val="28"/>
          <w:szCs w:val="32"/>
        </w:rPr>
        <w:t>第</w:t>
      </w:r>
      <w:r>
        <w:rPr>
          <w:b/>
          <w:bCs/>
          <w:sz w:val="28"/>
          <w:szCs w:val="32"/>
        </w:rPr>
        <w:t>十</w:t>
      </w:r>
      <w:r>
        <w:rPr>
          <w:rFonts w:hint="eastAsia"/>
          <w:b/>
          <w:bCs/>
          <w:sz w:val="28"/>
          <w:szCs w:val="32"/>
        </w:rPr>
        <w:t>九</w:t>
      </w:r>
      <w:r>
        <w:rPr>
          <w:b/>
          <w:bCs/>
          <w:sz w:val="28"/>
          <w:szCs w:val="32"/>
        </w:rPr>
        <w:t>条</w:t>
      </w:r>
      <w:r>
        <w:rPr>
          <w:sz w:val="28"/>
          <w:szCs w:val="32"/>
        </w:rPr>
        <w:tab/>
        <w:t>管理建议权。导师有权对</w:t>
      </w:r>
      <w:r>
        <w:rPr>
          <w:rFonts w:hint="eastAsia"/>
          <w:sz w:val="28"/>
          <w:szCs w:val="32"/>
        </w:rPr>
        <w:t>中国科学院大学和我所研究生教育的改革举措、规章制度、管理工作等提出意见和建议。</w:t>
      </w:r>
    </w:p>
    <w:p w:rsidR="004C698D" w:rsidRDefault="006906BE">
      <w:pPr>
        <w:jc w:val="center"/>
        <w:rPr>
          <w:rFonts w:ascii="黑体" w:eastAsia="黑体" w:hAnsi="黑体"/>
          <w:sz w:val="32"/>
          <w:szCs w:val="36"/>
        </w:rPr>
      </w:pPr>
      <w:bookmarkStart w:id="13" w:name="_Toc10713_WPSOffice_Level1"/>
      <w:bookmarkStart w:id="14" w:name="_Toc8006_WPSOffice_Level1"/>
      <w:r>
        <w:rPr>
          <w:rFonts w:ascii="黑体" w:eastAsia="黑体" w:hAnsi="黑体" w:hint="eastAsia"/>
          <w:sz w:val="32"/>
          <w:szCs w:val="36"/>
        </w:rPr>
        <w:t>第五章</w:t>
      </w:r>
      <w:r>
        <w:rPr>
          <w:rFonts w:ascii="黑体" w:eastAsia="黑体" w:hAnsi="黑体"/>
          <w:sz w:val="32"/>
          <w:szCs w:val="36"/>
        </w:rPr>
        <w:tab/>
      </w:r>
      <w:r>
        <w:rPr>
          <w:rFonts w:ascii="黑体" w:eastAsia="黑体" w:hAnsi="黑体" w:hint="eastAsia"/>
          <w:sz w:val="32"/>
          <w:szCs w:val="36"/>
        </w:rPr>
        <w:t>岗位聘任</w:t>
      </w:r>
      <w:bookmarkEnd w:id="13"/>
      <w:bookmarkEnd w:id="14"/>
    </w:p>
    <w:p w:rsidR="004C698D" w:rsidRDefault="006906BE">
      <w:pPr>
        <w:ind w:firstLineChars="200" w:firstLine="562"/>
        <w:rPr>
          <w:sz w:val="28"/>
          <w:szCs w:val="28"/>
        </w:rPr>
      </w:pPr>
      <w:r>
        <w:rPr>
          <w:rFonts w:hint="eastAsia"/>
          <w:b/>
          <w:bCs/>
          <w:sz w:val="28"/>
          <w:szCs w:val="28"/>
        </w:rPr>
        <w:t>第二十条</w:t>
      </w:r>
      <w:r>
        <w:rPr>
          <w:rFonts w:hint="eastAsia"/>
          <w:sz w:val="28"/>
          <w:szCs w:val="28"/>
        </w:rPr>
        <w:t xml:space="preserve">　按照研究生培养层次，导师岗位分为博士生导师和硕士生导师。导师除满足上述基本要求和岗位职责外，还应满足如下岗位条件：</w:t>
      </w:r>
    </w:p>
    <w:p w:rsidR="004C698D" w:rsidRDefault="006906BE">
      <w:pPr>
        <w:numPr>
          <w:ilvl w:val="0"/>
          <w:numId w:val="3"/>
        </w:numPr>
        <w:ind w:firstLineChars="200" w:firstLine="560"/>
        <w:rPr>
          <w:sz w:val="28"/>
          <w:szCs w:val="28"/>
        </w:rPr>
      </w:pPr>
      <w:r>
        <w:rPr>
          <w:rFonts w:hint="eastAsia"/>
          <w:sz w:val="28"/>
          <w:szCs w:val="28"/>
        </w:rPr>
        <w:t>在我所具有相应学位层次研究生培养权的学科专业范围内，具有副研究员或高级工程师（</w:t>
      </w:r>
      <w:proofErr w:type="gramStart"/>
      <w:r>
        <w:rPr>
          <w:rFonts w:hint="eastAsia"/>
          <w:sz w:val="28"/>
          <w:szCs w:val="28"/>
        </w:rPr>
        <w:t>限工学</w:t>
      </w:r>
      <w:proofErr w:type="gramEnd"/>
      <w:r>
        <w:rPr>
          <w:rFonts w:hint="eastAsia"/>
          <w:sz w:val="28"/>
          <w:szCs w:val="28"/>
        </w:rPr>
        <w:t>学科）以上专业技术职称的本所及合作研究人员，或具有较深学术造诣且有教育教学能力的科研和教学人员；</w:t>
      </w:r>
    </w:p>
    <w:p w:rsidR="004C698D" w:rsidRDefault="006906BE">
      <w:pPr>
        <w:numPr>
          <w:ilvl w:val="0"/>
          <w:numId w:val="3"/>
        </w:numPr>
        <w:ind w:firstLineChars="200" w:firstLine="560"/>
        <w:rPr>
          <w:sz w:val="28"/>
          <w:szCs w:val="28"/>
        </w:rPr>
      </w:pPr>
      <w:r>
        <w:rPr>
          <w:rFonts w:hint="eastAsia"/>
          <w:sz w:val="28"/>
          <w:szCs w:val="28"/>
        </w:rPr>
        <w:lastRenderedPageBreak/>
        <w:t>近年来科研成绩显著，取得了具有较高学术价值或社会效益、经济效益的科研成果；</w:t>
      </w:r>
    </w:p>
    <w:p w:rsidR="004C698D" w:rsidRDefault="006906BE">
      <w:pPr>
        <w:numPr>
          <w:ilvl w:val="0"/>
          <w:numId w:val="3"/>
        </w:numPr>
        <w:ind w:firstLineChars="200" w:firstLine="560"/>
        <w:rPr>
          <w:sz w:val="28"/>
          <w:szCs w:val="28"/>
        </w:rPr>
      </w:pPr>
      <w:r>
        <w:rPr>
          <w:rFonts w:hint="eastAsia"/>
          <w:sz w:val="28"/>
          <w:szCs w:val="28"/>
        </w:rPr>
        <w:t>目前从事较高水平的科研工作，有独立承担的、经过所级以上单位批</w:t>
      </w:r>
    </w:p>
    <w:p w:rsidR="004C698D" w:rsidRDefault="006906BE">
      <w:pPr>
        <w:rPr>
          <w:sz w:val="28"/>
          <w:szCs w:val="28"/>
        </w:rPr>
      </w:pPr>
      <w:r>
        <w:rPr>
          <w:rFonts w:hint="eastAsia"/>
          <w:sz w:val="28"/>
          <w:szCs w:val="28"/>
        </w:rPr>
        <w:t>准的科研项目，有较为充足的科研经费和必要的实验仪器设备，能够保证</w:t>
      </w:r>
      <w:proofErr w:type="gramStart"/>
      <w:r>
        <w:rPr>
          <w:rFonts w:hint="eastAsia"/>
          <w:sz w:val="28"/>
          <w:szCs w:val="28"/>
        </w:rPr>
        <w:t>研</w:t>
      </w:r>
      <w:proofErr w:type="gramEnd"/>
    </w:p>
    <w:p w:rsidR="004C698D" w:rsidRDefault="006906BE">
      <w:pPr>
        <w:rPr>
          <w:sz w:val="28"/>
          <w:szCs w:val="28"/>
        </w:rPr>
      </w:pPr>
      <w:r>
        <w:rPr>
          <w:rFonts w:hint="eastAsia"/>
          <w:sz w:val="28"/>
          <w:szCs w:val="28"/>
        </w:rPr>
        <w:t>究生培养需求；</w:t>
      </w:r>
    </w:p>
    <w:p w:rsidR="004C698D" w:rsidRDefault="006906BE">
      <w:pPr>
        <w:numPr>
          <w:ilvl w:val="0"/>
          <w:numId w:val="3"/>
        </w:numPr>
        <w:ind w:firstLineChars="200" w:firstLine="560"/>
        <w:rPr>
          <w:sz w:val="28"/>
          <w:szCs w:val="28"/>
        </w:rPr>
      </w:pPr>
      <w:r>
        <w:rPr>
          <w:rFonts w:hint="eastAsia"/>
          <w:sz w:val="28"/>
          <w:szCs w:val="28"/>
        </w:rPr>
        <w:t>身体健康，能在科研、教学第一线正常工作，有独立培养或协助培养硕士研究生的经历，每年能保证有半年以上的时间在国内指导研究生。</w:t>
      </w:r>
    </w:p>
    <w:p w:rsidR="004C698D" w:rsidRDefault="006906BE">
      <w:pPr>
        <w:ind w:firstLineChars="200" w:firstLine="562"/>
        <w:rPr>
          <w:sz w:val="28"/>
          <w:szCs w:val="28"/>
        </w:rPr>
      </w:pPr>
      <w:r>
        <w:rPr>
          <w:rFonts w:hint="eastAsia"/>
          <w:b/>
          <w:bCs/>
          <w:sz w:val="28"/>
          <w:szCs w:val="28"/>
        </w:rPr>
        <w:t>第二十一条</w:t>
      </w:r>
      <w:r>
        <w:rPr>
          <w:rFonts w:hint="eastAsia"/>
          <w:sz w:val="28"/>
          <w:szCs w:val="28"/>
        </w:rPr>
        <w:t> 博士生导师还应满足下列条件：</w:t>
      </w:r>
    </w:p>
    <w:p w:rsidR="004C698D" w:rsidRDefault="006906BE">
      <w:pPr>
        <w:numPr>
          <w:ilvl w:val="0"/>
          <w:numId w:val="4"/>
        </w:numPr>
        <w:ind w:firstLineChars="200" w:firstLine="560"/>
        <w:rPr>
          <w:sz w:val="28"/>
          <w:szCs w:val="28"/>
        </w:rPr>
      </w:pPr>
      <w:r>
        <w:rPr>
          <w:rFonts w:hint="eastAsia"/>
          <w:sz w:val="28"/>
          <w:szCs w:val="28"/>
        </w:rPr>
        <w:t>至少已完整培养出一届合格的硕士生，或有在国内外协助指导博士生的完整经历；</w:t>
      </w:r>
    </w:p>
    <w:p w:rsidR="004C698D" w:rsidRDefault="006906BE">
      <w:pPr>
        <w:numPr>
          <w:ilvl w:val="0"/>
          <w:numId w:val="4"/>
        </w:numPr>
        <w:ind w:firstLineChars="200" w:firstLine="560"/>
        <w:rPr>
          <w:sz w:val="28"/>
          <w:szCs w:val="28"/>
        </w:rPr>
      </w:pPr>
      <w:r>
        <w:rPr>
          <w:rFonts w:hint="eastAsia"/>
          <w:sz w:val="28"/>
          <w:szCs w:val="28"/>
        </w:rPr>
        <w:t>从事应用研究的，应有协助本人指导学生的学术梯队；</w:t>
      </w:r>
    </w:p>
    <w:p w:rsidR="004C698D" w:rsidRDefault="006906BE">
      <w:pPr>
        <w:numPr>
          <w:ilvl w:val="0"/>
          <w:numId w:val="4"/>
        </w:numPr>
        <w:ind w:firstLineChars="200" w:firstLine="560"/>
        <w:rPr>
          <w:sz w:val="28"/>
          <w:szCs w:val="28"/>
        </w:rPr>
      </w:pPr>
      <w:r>
        <w:rPr>
          <w:rFonts w:hint="eastAsia"/>
          <w:sz w:val="28"/>
          <w:szCs w:val="28"/>
        </w:rPr>
        <w:t>研究员或具有相当专业技术职务。</w:t>
      </w:r>
    </w:p>
    <w:p w:rsidR="004C698D" w:rsidRDefault="006906BE">
      <w:pPr>
        <w:numPr>
          <w:ilvl w:val="0"/>
          <w:numId w:val="4"/>
        </w:numPr>
        <w:ind w:firstLineChars="200" w:firstLine="560"/>
        <w:rPr>
          <w:sz w:val="28"/>
          <w:szCs w:val="28"/>
        </w:rPr>
      </w:pPr>
      <w:r>
        <w:rPr>
          <w:rFonts w:hint="eastAsia"/>
          <w:sz w:val="28"/>
          <w:szCs w:val="28"/>
        </w:rPr>
        <w:t>1991年以后参加工作的，应具有博士学位。</w:t>
      </w:r>
    </w:p>
    <w:p w:rsidR="004C698D" w:rsidRDefault="006906BE">
      <w:pPr>
        <w:ind w:firstLineChars="200" w:firstLine="562"/>
        <w:rPr>
          <w:sz w:val="28"/>
          <w:szCs w:val="32"/>
        </w:rPr>
      </w:pPr>
      <w:r>
        <w:rPr>
          <w:rFonts w:hint="eastAsia"/>
          <w:b/>
          <w:bCs/>
          <w:sz w:val="28"/>
          <w:szCs w:val="32"/>
        </w:rPr>
        <w:t>第二十二条</w:t>
      </w:r>
      <w:r>
        <w:rPr>
          <w:rFonts w:hint="eastAsia"/>
          <w:sz w:val="28"/>
          <w:szCs w:val="32"/>
        </w:rPr>
        <w:t xml:space="preserve">　我所根据已有学科专业培养点数量和研究生招生规模，设置招生的导师岗位，并具体组织实施导师岗位聘任工作。</w:t>
      </w:r>
    </w:p>
    <w:p w:rsidR="004C698D" w:rsidRDefault="006906BE">
      <w:pPr>
        <w:numPr>
          <w:ilvl w:val="0"/>
          <w:numId w:val="5"/>
        </w:numPr>
        <w:ind w:firstLineChars="200" w:firstLine="560"/>
        <w:rPr>
          <w:sz w:val="28"/>
          <w:szCs w:val="32"/>
        </w:rPr>
      </w:pPr>
      <w:r>
        <w:rPr>
          <w:rFonts w:hint="eastAsia"/>
          <w:sz w:val="28"/>
          <w:szCs w:val="32"/>
        </w:rPr>
        <w:t>博士生导师申请者需填写《中国科学院大学研究生指导教师资格申请表》，经所在学科组负责人审批后交至研究生部。各学科组负责人向研究生部推荐不少于3名具有教授、研究员或相当专业技术职称的所内外博士生导师评议专家。研究生部对申请者材料形式审查无误后，送所内外专家评议。</w:t>
      </w:r>
    </w:p>
    <w:p w:rsidR="004C698D" w:rsidRDefault="006906BE">
      <w:pPr>
        <w:numPr>
          <w:ilvl w:val="0"/>
          <w:numId w:val="5"/>
        </w:numPr>
        <w:ind w:firstLineChars="200" w:firstLine="560"/>
        <w:rPr>
          <w:sz w:val="28"/>
          <w:szCs w:val="32"/>
        </w:rPr>
      </w:pPr>
      <w:r>
        <w:rPr>
          <w:rFonts w:hint="eastAsia"/>
          <w:sz w:val="28"/>
          <w:szCs w:val="32"/>
        </w:rPr>
        <w:t>硕士生导师申请者需填写《中国科学院大学研究生指导教师资格申请表》，经所在研究组、学科组负责人审批后交至研究生部。研究生部对申请者材料形式审查无误后，送所内专家评议。</w:t>
      </w:r>
    </w:p>
    <w:p w:rsidR="004C698D" w:rsidRDefault="006906BE">
      <w:pPr>
        <w:numPr>
          <w:ilvl w:val="0"/>
          <w:numId w:val="5"/>
        </w:numPr>
        <w:ind w:firstLineChars="200" w:firstLine="560"/>
        <w:rPr>
          <w:sz w:val="28"/>
          <w:szCs w:val="32"/>
        </w:rPr>
      </w:pPr>
      <w:r>
        <w:rPr>
          <w:rFonts w:hint="eastAsia"/>
          <w:sz w:val="28"/>
          <w:szCs w:val="32"/>
        </w:rPr>
        <w:lastRenderedPageBreak/>
        <w:t>研究生部将申请者材料及专家评议意见提交所学位评定委员会进行讨论表决。学位评定委员会根据我所学科发展、岗位设置、导师条件，严格审核申请人的有关材料，对其学术水平及指导研究生的能力进行全面评议，采取无记名投票的方式表决，认定导师资格。国家人才计划（创新长期项目、青年项目）、国家杰出青年科学基金、国家优秀青年科学基金、青年拔尖人才支持计划及青年长江学者等相当层次人才计划获得者由所学位评定委员会认定为博士生导师资格。上述经所学位评定委员会认定导师资格的人员，经所务会批准，发布导师聘任公文，报中国科学院大学备案。</w:t>
      </w:r>
    </w:p>
    <w:p w:rsidR="004C698D" w:rsidRDefault="006906BE">
      <w:pPr>
        <w:ind w:firstLineChars="200" w:firstLine="562"/>
        <w:rPr>
          <w:sz w:val="28"/>
          <w:szCs w:val="32"/>
        </w:rPr>
      </w:pPr>
      <w:r>
        <w:rPr>
          <w:rFonts w:hint="eastAsia"/>
          <w:b/>
          <w:bCs/>
          <w:sz w:val="28"/>
          <w:szCs w:val="32"/>
        </w:rPr>
        <w:t>第二十三条</w:t>
      </w:r>
      <w:r>
        <w:rPr>
          <w:rFonts w:hint="eastAsia"/>
          <w:sz w:val="28"/>
          <w:szCs w:val="32"/>
        </w:rPr>
        <w:t xml:space="preserve">　年龄条件。申请招生的导师应在我所规定的退休年龄前能够完整地指导一届研究生。</w:t>
      </w:r>
    </w:p>
    <w:p w:rsidR="004C698D" w:rsidRDefault="006906BE">
      <w:pPr>
        <w:ind w:firstLineChars="200" w:firstLine="562"/>
        <w:rPr>
          <w:sz w:val="28"/>
          <w:szCs w:val="32"/>
        </w:rPr>
      </w:pPr>
      <w:r>
        <w:rPr>
          <w:rFonts w:hint="eastAsia"/>
          <w:b/>
          <w:bCs/>
          <w:sz w:val="28"/>
          <w:szCs w:val="32"/>
        </w:rPr>
        <w:t>第二十四条</w:t>
      </w:r>
      <w:r>
        <w:rPr>
          <w:rFonts w:hint="eastAsia"/>
          <w:b/>
          <w:bCs/>
          <w:sz w:val="28"/>
          <w:szCs w:val="32"/>
        </w:rPr>
        <w:tab/>
      </w:r>
      <w:r>
        <w:rPr>
          <w:rFonts w:hint="eastAsia"/>
          <w:sz w:val="28"/>
          <w:szCs w:val="32"/>
        </w:rPr>
        <w:t>限额招生。为确保导师有足够的时间和精力指导研究生，保证培养质量，对导师招生实行限额控制，一级研究员年度限招3人，研究组组长及二级研究员年度限招2人，其他导师限招1人；在籍研究生超过20人（其中博士超过12人）的导师，暂停其招生资格（以审核当年6月30日为计算时间点）。</w:t>
      </w:r>
    </w:p>
    <w:p w:rsidR="004C698D" w:rsidRDefault="006906BE">
      <w:pPr>
        <w:numPr>
          <w:ilvl w:val="0"/>
          <w:numId w:val="6"/>
        </w:numPr>
        <w:jc w:val="center"/>
        <w:rPr>
          <w:rFonts w:ascii="黑体" w:eastAsia="黑体" w:hAnsi="黑体"/>
          <w:sz w:val="32"/>
          <w:szCs w:val="36"/>
        </w:rPr>
      </w:pPr>
      <w:bookmarkStart w:id="15" w:name="_Toc24751_WPSOffice_Level1"/>
      <w:bookmarkStart w:id="16" w:name="_Toc30300_WPSOffice_Level1"/>
      <w:r>
        <w:rPr>
          <w:rFonts w:ascii="黑体" w:eastAsia="黑体" w:hAnsi="黑体" w:hint="eastAsia"/>
          <w:sz w:val="32"/>
          <w:szCs w:val="36"/>
        </w:rPr>
        <w:t>岗位考核</w:t>
      </w:r>
      <w:bookmarkEnd w:id="15"/>
      <w:bookmarkEnd w:id="16"/>
    </w:p>
    <w:p w:rsidR="004C698D" w:rsidRDefault="006906BE">
      <w:pPr>
        <w:ind w:firstLineChars="200" w:firstLine="562"/>
        <w:rPr>
          <w:sz w:val="28"/>
          <w:szCs w:val="32"/>
        </w:rPr>
      </w:pPr>
      <w:r>
        <w:rPr>
          <w:rFonts w:hint="eastAsia"/>
          <w:b/>
          <w:bCs/>
          <w:sz w:val="28"/>
          <w:szCs w:val="32"/>
        </w:rPr>
        <w:t>第二十五条</w:t>
      </w:r>
      <w:r>
        <w:rPr>
          <w:rFonts w:hint="eastAsia"/>
          <w:sz w:val="28"/>
          <w:szCs w:val="32"/>
        </w:rPr>
        <w:t xml:space="preserve">　导师上岗招生审核工作每年进行一次。已有导师资格并申请继续招生的导师，在下一年度招生工作开始前，填写《中国科学院大学研究生指导教师XX年度招收研究生申请表》。</w:t>
      </w:r>
    </w:p>
    <w:p w:rsidR="004C698D" w:rsidRDefault="006906BE">
      <w:pPr>
        <w:ind w:firstLineChars="200" w:firstLine="560"/>
        <w:rPr>
          <w:sz w:val="28"/>
          <w:szCs w:val="32"/>
        </w:rPr>
      </w:pPr>
      <w:r>
        <w:rPr>
          <w:rFonts w:hint="eastAsia"/>
          <w:sz w:val="28"/>
          <w:szCs w:val="32"/>
        </w:rPr>
        <w:t>我所学位评定委员会根据岗位设置要求，着重对其目前承担的科研项目和研究经费、在学学生数以及是否有精力指导研究生等方面进行审核，通过后报国科大备案，方可招生。</w:t>
      </w:r>
    </w:p>
    <w:p w:rsidR="004C698D" w:rsidRDefault="006906BE">
      <w:pPr>
        <w:ind w:firstLineChars="200" w:firstLine="562"/>
        <w:rPr>
          <w:sz w:val="28"/>
          <w:szCs w:val="32"/>
        </w:rPr>
      </w:pPr>
      <w:r>
        <w:rPr>
          <w:rFonts w:hint="eastAsia"/>
          <w:b/>
          <w:bCs/>
          <w:sz w:val="28"/>
          <w:szCs w:val="32"/>
        </w:rPr>
        <w:lastRenderedPageBreak/>
        <w:t>第二十六条</w:t>
      </w:r>
      <w:r>
        <w:rPr>
          <w:rFonts w:hint="eastAsia"/>
          <w:sz w:val="28"/>
          <w:szCs w:val="32"/>
        </w:rPr>
        <w:t xml:space="preserve">　我所将定期组织导师的岗位评议，对导师的学术贡献和研究生培养业绩做出及时、公正、合理的评价；为导师的上岗、奖惩等提供客观依据，为建立招生指标的合理分配体系创造良好条件。</w:t>
      </w:r>
    </w:p>
    <w:p w:rsidR="004C698D" w:rsidRDefault="006906BE">
      <w:pPr>
        <w:ind w:firstLineChars="200" w:firstLine="562"/>
        <w:rPr>
          <w:sz w:val="28"/>
          <w:szCs w:val="32"/>
        </w:rPr>
      </w:pPr>
      <w:r>
        <w:rPr>
          <w:rFonts w:hint="eastAsia"/>
          <w:b/>
          <w:bCs/>
          <w:sz w:val="28"/>
          <w:szCs w:val="32"/>
        </w:rPr>
        <w:t>第二十七条</w:t>
      </w:r>
      <w:r>
        <w:rPr>
          <w:rFonts w:hint="eastAsia"/>
          <w:sz w:val="28"/>
          <w:szCs w:val="32"/>
        </w:rPr>
        <w:t xml:space="preserve">　在研究生培养过程中，对未能履行导师职责的导师，经我所学位评定委员会认定后，视情节轻重，采取限额招生、暂停招生、取消招生申请资格，直至取消导师资格。导师职责负面清单见附件1。</w:t>
      </w:r>
    </w:p>
    <w:p w:rsidR="004C698D" w:rsidRDefault="006906BE">
      <w:pPr>
        <w:numPr>
          <w:ilvl w:val="0"/>
          <w:numId w:val="6"/>
        </w:numPr>
        <w:jc w:val="center"/>
        <w:rPr>
          <w:rFonts w:ascii="黑体" w:eastAsia="黑体" w:hAnsi="黑体"/>
          <w:sz w:val="32"/>
          <w:szCs w:val="36"/>
        </w:rPr>
      </w:pPr>
      <w:bookmarkStart w:id="17" w:name="_Toc31373_WPSOffice_Level1"/>
      <w:bookmarkStart w:id="18" w:name="_Toc7941_WPSOffice_Level1"/>
      <w:r>
        <w:rPr>
          <w:rFonts w:ascii="黑体" w:eastAsia="黑体" w:hAnsi="黑体" w:hint="eastAsia"/>
          <w:sz w:val="32"/>
          <w:szCs w:val="36"/>
        </w:rPr>
        <w:t>附</w:t>
      </w:r>
      <w:r>
        <w:rPr>
          <w:rFonts w:ascii="黑体" w:eastAsia="黑体" w:hAnsi="黑体" w:hint="eastAsia"/>
          <w:sz w:val="32"/>
          <w:szCs w:val="36"/>
        </w:rPr>
        <w:tab/>
        <w:t>则</w:t>
      </w:r>
      <w:bookmarkEnd w:id="17"/>
      <w:bookmarkEnd w:id="18"/>
    </w:p>
    <w:p w:rsidR="004C698D" w:rsidRDefault="006906BE">
      <w:pPr>
        <w:ind w:firstLineChars="200" w:firstLine="562"/>
        <w:rPr>
          <w:sz w:val="28"/>
          <w:szCs w:val="32"/>
        </w:rPr>
      </w:pPr>
      <w:r>
        <w:rPr>
          <w:rFonts w:hint="eastAsia"/>
          <w:b/>
          <w:bCs/>
          <w:sz w:val="28"/>
          <w:szCs w:val="32"/>
        </w:rPr>
        <w:t>第二十八条</w:t>
      </w:r>
      <w:r>
        <w:rPr>
          <w:rFonts w:hint="eastAsia"/>
          <w:sz w:val="28"/>
          <w:szCs w:val="32"/>
        </w:rPr>
        <w:t xml:space="preserve">　我所可根据学科发展需要，在已有学位授予权的学科范围内，选聘少量外单位具有丰富研究生培养经验的高水平专家、学者作为兼职导师。兼职导师应满足基本条件，履行岗位职责，其选聘条件应符合本条例要求。</w:t>
      </w:r>
    </w:p>
    <w:p w:rsidR="004C698D" w:rsidRDefault="006906BE">
      <w:pPr>
        <w:ind w:firstLineChars="200" w:firstLine="562"/>
        <w:rPr>
          <w:sz w:val="28"/>
          <w:szCs w:val="28"/>
        </w:rPr>
      </w:pPr>
      <w:r>
        <w:rPr>
          <w:rFonts w:hint="eastAsia"/>
          <w:b/>
          <w:bCs/>
          <w:sz w:val="28"/>
          <w:szCs w:val="32"/>
        </w:rPr>
        <w:t>第二十九条</w:t>
      </w:r>
      <w:r>
        <w:rPr>
          <w:rFonts w:hint="eastAsia"/>
          <w:sz w:val="28"/>
          <w:szCs w:val="32"/>
        </w:rPr>
        <w:tab/>
        <w:t>为建立以工程能力培养为导向的专业学位硕士研究</w:t>
      </w:r>
      <w:r>
        <w:rPr>
          <w:rFonts w:hint="eastAsia"/>
          <w:sz w:val="28"/>
          <w:szCs w:val="28"/>
        </w:rPr>
        <w:t>生培养，我所在已有学位授予权的学科范围内，选聘部分来自相关企业或工程实践单位具有丰富工程实践经验的专家作为专业学位硕士研究生企业（实践）导师。企业（实践）导师除满足上述基本要求和岗位职责外，还应积极为研究生实践环节的培养创造必要的生活条件和工作条件，开设创新创业讲座，提供就业创业指导。</w:t>
      </w:r>
    </w:p>
    <w:p w:rsidR="004C698D" w:rsidRDefault="006906BE">
      <w:pPr>
        <w:ind w:firstLineChars="200" w:firstLine="562"/>
        <w:rPr>
          <w:sz w:val="28"/>
          <w:szCs w:val="32"/>
        </w:rPr>
      </w:pPr>
      <w:r>
        <w:rPr>
          <w:rFonts w:hint="eastAsia"/>
          <w:b/>
          <w:bCs/>
          <w:sz w:val="28"/>
          <w:szCs w:val="32"/>
        </w:rPr>
        <w:t>第三十条</w:t>
      </w:r>
      <w:r>
        <w:rPr>
          <w:rFonts w:hint="eastAsia"/>
          <w:sz w:val="28"/>
          <w:szCs w:val="32"/>
        </w:rPr>
        <w:t> 本细则解释权归属我所学位评定委员会，由研究生部负责解释。</w:t>
      </w:r>
    </w:p>
    <w:p w:rsidR="004C698D" w:rsidRDefault="006906BE">
      <w:pPr>
        <w:ind w:firstLineChars="200" w:firstLine="562"/>
        <w:rPr>
          <w:sz w:val="28"/>
          <w:szCs w:val="32"/>
        </w:rPr>
      </w:pPr>
      <w:r>
        <w:rPr>
          <w:rFonts w:hint="eastAsia"/>
          <w:b/>
          <w:bCs/>
          <w:sz w:val="28"/>
          <w:szCs w:val="32"/>
        </w:rPr>
        <w:t>第三十一条</w:t>
      </w:r>
      <w:r>
        <w:rPr>
          <w:rFonts w:hint="eastAsia"/>
          <w:sz w:val="28"/>
          <w:szCs w:val="32"/>
        </w:rPr>
        <w:t> 本条例自印发之日起施行。原《中国科学院大连化学物理研究所研究生指导教师工作细则》（化物所发【2017】152号）同时废止。</w:t>
      </w:r>
    </w:p>
    <w:p w:rsidR="004C698D" w:rsidRDefault="004C698D">
      <w:pPr>
        <w:ind w:firstLineChars="200" w:firstLine="560"/>
        <w:rPr>
          <w:sz w:val="28"/>
          <w:szCs w:val="32"/>
        </w:rPr>
      </w:pPr>
    </w:p>
    <w:p w:rsidR="004C698D" w:rsidRDefault="004C698D">
      <w:pPr>
        <w:rPr>
          <w:b/>
          <w:bCs/>
          <w:szCs w:val="28"/>
        </w:rPr>
      </w:pPr>
    </w:p>
    <w:p w:rsidR="004C698D" w:rsidRDefault="006906BE">
      <w:pPr>
        <w:rPr>
          <w:szCs w:val="28"/>
        </w:rPr>
      </w:pPr>
      <w:bookmarkStart w:id="19" w:name="_Toc22680_WPSOffice_Level1"/>
      <w:bookmarkStart w:id="20" w:name="_Toc27043_WPSOffice_Level1"/>
      <w:r>
        <w:rPr>
          <w:rFonts w:hint="eastAsia"/>
          <w:szCs w:val="28"/>
        </w:rPr>
        <w:lastRenderedPageBreak/>
        <w:t>附件1</w:t>
      </w:r>
      <w:r>
        <w:rPr>
          <w:szCs w:val="28"/>
        </w:rPr>
        <w:t>.</w:t>
      </w:r>
      <w:r>
        <w:rPr>
          <w:rFonts w:hint="eastAsia"/>
          <w:szCs w:val="28"/>
        </w:rPr>
        <w:t>导师职责负面清单</w:t>
      </w:r>
      <w:bookmarkEnd w:id="19"/>
      <w:bookmarkEnd w:id="20"/>
    </w:p>
    <w:p w:rsidR="004C698D" w:rsidRDefault="004C698D">
      <w:pPr>
        <w:rPr>
          <w:szCs w:val="28"/>
        </w:rPr>
      </w:pPr>
    </w:p>
    <w:p w:rsidR="004C698D" w:rsidRDefault="004C698D">
      <w:pPr>
        <w:rPr>
          <w:szCs w:val="28"/>
        </w:rPr>
      </w:pPr>
    </w:p>
    <w:p w:rsidR="004C698D" w:rsidRDefault="004C698D">
      <w:pPr>
        <w:rPr>
          <w:szCs w:val="28"/>
        </w:rPr>
      </w:pPr>
    </w:p>
    <w:p w:rsidR="004C698D" w:rsidRDefault="004C698D">
      <w:pPr>
        <w:rPr>
          <w:szCs w:val="28"/>
        </w:rPr>
      </w:pPr>
    </w:p>
    <w:p w:rsidR="004C698D" w:rsidRDefault="006906BE">
      <w:pPr>
        <w:rPr>
          <w:rFonts w:ascii="黑体" w:eastAsia="黑体" w:hAnsi="黑体"/>
          <w:sz w:val="28"/>
          <w:szCs w:val="32"/>
        </w:rPr>
      </w:pPr>
      <w:bookmarkStart w:id="21" w:name="_Toc10677_WPSOffice_Level1"/>
      <w:bookmarkStart w:id="22" w:name="_Toc11883_WPSOffice_Level1"/>
      <w:r>
        <w:rPr>
          <w:rFonts w:ascii="黑体" w:eastAsia="黑体" w:hAnsi="黑体" w:hint="eastAsia"/>
          <w:sz w:val="28"/>
          <w:szCs w:val="32"/>
        </w:rPr>
        <w:t>附件1：</w:t>
      </w:r>
      <w:bookmarkEnd w:id="21"/>
      <w:bookmarkEnd w:id="22"/>
    </w:p>
    <w:p w:rsidR="004C698D" w:rsidRDefault="006906BE">
      <w:pPr>
        <w:jc w:val="center"/>
        <w:rPr>
          <w:b/>
          <w:bCs/>
          <w:sz w:val="32"/>
          <w:szCs w:val="36"/>
        </w:rPr>
      </w:pPr>
      <w:bookmarkStart w:id="23" w:name="_Toc27154_WPSOffice_Level1"/>
      <w:bookmarkStart w:id="24" w:name="_Toc23259_WPSOffice_Level1"/>
      <w:r>
        <w:rPr>
          <w:rFonts w:hint="eastAsia"/>
          <w:b/>
          <w:bCs/>
          <w:sz w:val="32"/>
          <w:szCs w:val="36"/>
        </w:rPr>
        <w:t>导师职责负面清单</w:t>
      </w:r>
      <w:bookmarkEnd w:id="23"/>
      <w:bookmarkEnd w:id="24"/>
    </w:p>
    <w:tbl>
      <w:tblPr>
        <w:tblStyle w:val="a7"/>
        <w:tblW w:w="8540" w:type="dxa"/>
        <w:jc w:val="center"/>
        <w:tblLayout w:type="fixed"/>
        <w:tblLook w:val="04A0" w:firstRow="1" w:lastRow="0" w:firstColumn="1" w:lastColumn="0" w:noHBand="0" w:noVBand="1"/>
      </w:tblPr>
      <w:tblGrid>
        <w:gridCol w:w="846"/>
        <w:gridCol w:w="4804"/>
        <w:gridCol w:w="2890"/>
      </w:tblGrid>
      <w:tr w:rsidR="004C698D">
        <w:trPr>
          <w:trHeight w:val="663"/>
          <w:jc w:val="center"/>
        </w:trPr>
        <w:tc>
          <w:tcPr>
            <w:tcW w:w="846" w:type="dxa"/>
          </w:tcPr>
          <w:p w:rsidR="004C698D" w:rsidRDefault="006906BE">
            <w:pPr>
              <w:jc w:val="center"/>
              <w:rPr>
                <w:rFonts w:ascii="楷体" w:eastAsia="楷体" w:hAnsi="楷体" w:cs="楷体"/>
                <w:sz w:val="28"/>
                <w:szCs w:val="32"/>
              </w:rPr>
            </w:pPr>
            <w:r>
              <w:rPr>
                <w:rFonts w:ascii="楷体" w:eastAsia="楷体" w:hAnsi="楷体" w:cs="楷体" w:hint="eastAsia"/>
                <w:sz w:val="28"/>
                <w:szCs w:val="32"/>
              </w:rPr>
              <w:t>序号</w:t>
            </w:r>
          </w:p>
        </w:tc>
        <w:tc>
          <w:tcPr>
            <w:tcW w:w="4804" w:type="dxa"/>
            <w:vAlign w:val="center"/>
          </w:tcPr>
          <w:p w:rsidR="004C698D" w:rsidRDefault="006906BE">
            <w:pPr>
              <w:jc w:val="center"/>
              <w:rPr>
                <w:rFonts w:ascii="楷体" w:eastAsia="楷体" w:hAnsi="楷体" w:cs="楷体"/>
                <w:sz w:val="28"/>
                <w:szCs w:val="32"/>
              </w:rPr>
            </w:pPr>
            <w:r>
              <w:rPr>
                <w:rFonts w:ascii="楷体" w:eastAsia="楷体" w:hAnsi="楷体" w:cs="楷体" w:hint="eastAsia"/>
                <w:sz w:val="28"/>
                <w:szCs w:val="32"/>
              </w:rPr>
              <w:t>事项</w:t>
            </w:r>
          </w:p>
        </w:tc>
        <w:tc>
          <w:tcPr>
            <w:tcW w:w="2890" w:type="dxa"/>
            <w:vAlign w:val="center"/>
          </w:tcPr>
          <w:p w:rsidR="004C698D" w:rsidRDefault="006906BE">
            <w:pPr>
              <w:jc w:val="center"/>
              <w:rPr>
                <w:rFonts w:ascii="楷体" w:eastAsia="楷体" w:hAnsi="楷体" w:cs="楷体"/>
                <w:sz w:val="28"/>
                <w:szCs w:val="32"/>
              </w:rPr>
            </w:pPr>
            <w:r>
              <w:rPr>
                <w:rFonts w:ascii="楷体" w:eastAsia="楷体" w:hAnsi="楷体" w:cs="楷体" w:hint="eastAsia"/>
                <w:sz w:val="28"/>
                <w:szCs w:val="32"/>
              </w:rPr>
              <w:t>处理</w:t>
            </w:r>
          </w:p>
        </w:tc>
      </w:tr>
      <w:tr w:rsidR="004C698D">
        <w:trPr>
          <w:trHeight w:val="960"/>
          <w:jc w:val="center"/>
        </w:trPr>
        <w:tc>
          <w:tcPr>
            <w:tcW w:w="846" w:type="dxa"/>
            <w:vAlign w:val="center"/>
          </w:tcPr>
          <w:p w:rsidR="004C698D" w:rsidRDefault="006906BE">
            <w:pPr>
              <w:jc w:val="center"/>
              <w:rPr>
                <w:rFonts w:ascii="仿宋" w:eastAsia="仿宋" w:hAnsi="仿宋" w:cs="仿宋"/>
              </w:rPr>
            </w:pPr>
            <w:r>
              <w:rPr>
                <w:rFonts w:ascii="仿宋" w:eastAsia="仿宋" w:hAnsi="仿宋" w:cs="仿宋" w:hint="eastAsia"/>
              </w:rPr>
              <w:t>1</w:t>
            </w:r>
          </w:p>
        </w:tc>
        <w:tc>
          <w:tcPr>
            <w:tcW w:w="4804" w:type="dxa"/>
            <w:vAlign w:val="center"/>
          </w:tcPr>
          <w:p w:rsidR="004C698D" w:rsidRDefault="006906BE">
            <w:pPr>
              <w:rPr>
                <w:rFonts w:ascii="仿宋" w:eastAsia="仿宋" w:hAnsi="仿宋" w:cs="仿宋"/>
              </w:rPr>
            </w:pPr>
            <w:r>
              <w:rPr>
                <w:rFonts w:ascii="仿宋" w:eastAsia="仿宋" w:hAnsi="仿宋" w:cs="仿宋" w:hint="eastAsia"/>
              </w:rPr>
              <w:t>存在违背《研究生导师指导行为准则》（教研〔2020〕12号）的行为</w:t>
            </w:r>
          </w:p>
        </w:tc>
        <w:tc>
          <w:tcPr>
            <w:tcW w:w="2890" w:type="dxa"/>
            <w:vAlign w:val="center"/>
          </w:tcPr>
          <w:p w:rsidR="004C698D" w:rsidRDefault="006906BE">
            <w:pPr>
              <w:rPr>
                <w:rFonts w:ascii="仿宋" w:eastAsia="仿宋" w:hAnsi="仿宋" w:cs="仿宋"/>
              </w:rPr>
            </w:pPr>
            <w:r>
              <w:rPr>
                <w:rFonts w:ascii="仿宋" w:eastAsia="仿宋" w:hAnsi="仿宋" w:cs="仿宋" w:hint="eastAsia"/>
              </w:rPr>
              <w:t>视情节暂停1-3年招生资格，严重违反者取消导师资格</w:t>
            </w:r>
          </w:p>
        </w:tc>
      </w:tr>
      <w:tr w:rsidR="004C698D">
        <w:trPr>
          <w:trHeight w:val="960"/>
          <w:jc w:val="center"/>
        </w:trPr>
        <w:tc>
          <w:tcPr>
            <w:tcW w:w="846" w:type="dxa"/>
            <w:vAlign w:val="center"/>
          </w:tcPr>
          <w:p w:rsidR="004C698D" w:rsidRDefault="006906BE">
            <w:pPr>
              <w:jc w:val="center"/>
              <w:rPr>
                <w:rFonts w:ascii="仿宋" w:eastAsia="仿宋" w:hAnsi="仿宋" w:cs="仿宋"/>
              </w:rPr>
            </w:pPr>
            <w:r>
              <w:rPr>
                <w:rFonts w:ascii="仿宋" w:eastAsia="仿宋" w:hAnsi="仿宋" w:cs="仿宋" w:hint="eastAsia"/>
              </w:rPr>
              <w:t>2</w:t>
            </w:r>
          </w:p>
        </w:tc>
        <w:tc>
          <w:tcPr>
            <w:tcW w:w="4804" w:type="dxa"/>
            <w:vAlign w:val="center"/>
          </w:tcPr>
          <w:p w:rsidR="004C698D" w:rsidRDefault="006906BE">
            <w:pPr>
              <w:rPr>
                <w:rFonts w:ascii="仿宋" w:eastAsia="仿宋" w:hAnsi="仿宋" w:cs="仿宋"/>
              </w:rPr>
            </w:pPr>
            <w:r>
              <w:rPr>
                <w:rFonts w:ascii="仿宋" w:eastAsia="仿宋" w:hAnsi="仿宋" w:cs="仿宋" w:hint="eastAsia"/>
              </w:rPr>
              <w:t>发现学术舞弊作伪行为的</w:t>
            </w:r>
          </w:p>
        </w:tc>
        <w:tc>
          <w:tcPr>
            <w:tcW w:w="2890" w:type="dxa"/>
            <w:vAlign w:val="center"/>
          </w:tcPr>
          <w:p w:rsidR="004C698D" w:rsidRDefault="006906BE">
            <w:pPr>
              <w:rPr>
                <w:rFonts w:ascii="仿宋" w:eastAsia="仿宋" w:hAnsi="仿宋" w:cs="仿宋"/>
              </w:rPr>
            </w:pPr>
            <w:r>
              <w:rPr>
                <w:rFonts w:ascii="仿宋" w:eastAsia="仿宋" w:hAnsi="仿宋" w:cs="仿宋" w:hint="eastAsia"/>
              </w:rPr>
              <w:t>暂停3年招生资格，严重违反者取消导师资格</w:t>
            </w:r>
          </w:p>
        </w:tc>
      </w:tr>
      <w:tr w:rsidR="004C698D">
        <w:trPr>
          <w:trHeight w:val="960"/>
          <w:jc w:val="center"/>
        </w:trPr>
        <w:tc>
          <w:tcPr>
            <w:tcW w:w="846" w:type="dxa"/>
            <w:vAlign w:val="center"/>
          </w:tcPr>
          <w:p w:rsidR="004C698D" w:rsidRDefault="006906BE">
            <w:pPr>
              <w:jc w:val="center"/>
              <w:rPr>
                <w:rFonts w:ascii="仿宋" w:eastAsia="仿宋" w:hAnsi="仿宋" w:cs="仿宋"/>
              </w:rPr>
            </w:pPr>
            <w:r>
              <w:rPr>
                <w:rFonts w:ascii="仿宋" w:eastAsia="仿宋" w:hAnsi="仿宋" w:cs="仿宋" w:hint="eastAsia"/>
              </w:rPr>
              <w:t>3</w:t>
            </w:r>
          </w:p>
        </w:tc>
        <w:tc>
          <w:tcPr>
            <w:tcW w:w="4804" w:type="dxa"/>
            <w:vAlign w:val="center"/>
          </w:tcPr>
          <w:p w:rsidR="004C698D" w:rsidRDefault="006906BE">
            <w:pPr>
              <w:rPr>
                <w:rFonts w:ascii="仿宋" w:eastAsia="仿宋" w:hAnsi="仿宋" w:cs="仿宋"/>
              </w:rPr>
            </w:pPr>
            <w:r>
              <w:rPr>
                <w:rFonts w:ascii="仿宋" w:eastAsia="仿宋" w:hAnsi="仿宋" w:cs="仿宋" w:hint="eastAsia"/>
              </w:rPr>
              <w:t>在研究生教育质量检查与评估中，发现有培养质量问题</w:t>
            </w:r>
          </w:p>
        </w:tc>
        <w:tc>
          <w:tcPr>
            <w:tcW w:w="2890" w:type="dxa"/>
            <w:vAlign w:val="center"/>
          </w:tcPr>
          <w:p w:rsidR="004C698D" w:rsidRDefault="006906BE">
            <w:pPr>
              <w:rPr>
                <w:rFonts w:ascii="仿宋" w:eastAsia="仿宋" w:hAnsi="仿宋" w:cs="仿宋"/>
              </w:rPr>
            </w:pPr>
            <w:r>
              <w:rPr>
                <w:rFonts w:ascii="仿宋" w:eastAsia="仿宋" w:hAnsi="仿宋" w:cs="仿宋" w:hint="eastAsia"/>
              </w:rPr>
              <w:t>暂停</w:t>
            </w:r>
            <w:r>
              <w:rPr>
                <w:rFonts w:ascii="仿宋" w:eastAsia="仿宋" w:hAnsi="仿宋" w:cs="仿宋"/>
              </w:rPr>
              <w:t>3</w:t>
            </w:r>
            <w:r>
              <w:rPr>
                <w:rFonts w:ascii="仿宋" w:eastAsia="仿宋" w:hAnsi="仿宋" w:cs="仿宋" w:hint="eastAsia"/>
              </w:rPr>
              <w:t>年招生资格</w:t>
            </w:r>
          </w:p>
        </w:tc>
      </w:tr>
      <w:tr w:rsidR="004C698D">
        <w:trPr>
          <w:trHeight w:val="960"/>
          <w:jc w:val="center"/>
        </w:trPr>
        <w:tc>
          <w:tcPr>
            <w:tcW w:w="846" w:type="dxa"/>
            <w:vAlign w:val="center"/>
          </w:tcPr>
          <w:p w:rsidR="004C698D" w:rsidRDefault="006906BE">
            <w:pPr>
              <w:jc w:val="center"/>
              <w:rPr>
                <w:rFonts w:ascii="仿宋" w:eastAsia="仿宋" w:hAnsi="仿宋" w:cs="仿宋"/>
              </w:rPr>
            </w:pPr>
            <w:r>
              <w:rPr>
                <w:rFonts w:ascii="仿宋" w:eastAsia="仿宋" w:hAnsi="仿宋" w:cs="仿宋" w:hint="eastAsia"/>
              </w:rPr>
              <w:t>4</w:t>
            </w:r>
          </w:p>
        </w:tc>
        <w:tc>
          <w:tcPr>
            <w:tcW w:w="4804" w:type="dxa"/>
            <w:vAlign w:val="center"/>
          </w:tcPr>
          <w:p w:rsidR="004C698D" w:rsidRDefault="006906BE">
            <w:pPr>
              <w:rPr>
                <w:rFonts w:ascii="仿宋" w:eastAsia="仿宋" w:hAnsi="仿宋" w:cs="仿宋"/>
              </w:rPr>
            </w:pPr>
            <w:r>
              <w:rPr>
                <w:rFonts w:ascii="仿宋" w:eastAsia="仿宋" w:hAnsi="仿宋" w:cs="仿宋" w:hint="eastAsia"/>
              </w:rPr>
              <w:t>所在学科或研究方向属社会需求不旺、连续两年学生就业遇到困难的</w:t>
            </w:r>
          </w:p>
        </w:tc>
        <w:tc>
          <w:tcPr>
            <w:tcW w:w="2890" w:type="dxa"/>
            <w:vAlign w:val="center"/>
          </w:tcPr>
          <w:p w:rsidR="004C698D" w:rsidRDefault="006906BE">
            <w:pPr>
              <w:rPr>
                <w:rFonts w:ascii="仿宋" w:eastAsia="仿宋" w:hAnsi="仿宋" w:cs="仿宋"/>
              </w:rPr>
            </w:pPr>
            <w:r>
              <w:rPr>
                <w:rFonts w:ascii="仿宋" w:eastAsia="仿宋" w:hAnsi="仿宋" w:cs="仿宋" w:hint="eastAsia"/>
              </w:rPr>
              <w:t>暂停1年招生资格</w:t>
            </w:r>
          </w:p>
        </w:tc>
      </w:tr>
      <w:tr w:rsidR="004C698D">
        <w:trPr>
          <w:trHeight w:val="960"/>
          <w:jc w:val="center"/>
        </w:trPr>
        <w:tc>
          <w:tcPr>
            <w:tcW w:w="846" w:type="dxa"/>
            <w:vAlign w:val="center"/>
          </w:tcPr>
          <w:p w:rsidR="004C698D" w:rsidRDefault="006906BE">
            <w:pPr>
              <w:jc w:val="center"/>
              <w:rPr>
                <w:rFonts w:ascii="仿宋" w:eastAsia="仿宋" w:hAnsi="仿宋" w:cs="仿宋"/>
              </w:rPr>
            </w:pPr>
            <w:r>
              <w:rPr>
                <w:rFonts w:ascii="仿宋" w:eastAsia="仿宋" w:hAnsi="仿宋" w:cs="仿宋"/>
              </w:rPr>
              <w:t>5</w:t>
            </w:r>
          </w:p>
        </w:tc>
        <w:tc>
          <w:tcPr>
            <w:tcW w:w="4804" w:type="dxa"/>
            <w:vAlign w:val="center"/>
          </w:tcPr>
          <w:p w:rsidR="004C698D" w:rsidRDefault="006906BE">
            <w:pPr>
              <w:rPr>
                <w:rFonts w:ascii="仿宋" w:eastAsia="仿宋" w:hAnsi="仿宋" w:cs="仿宋"/>
              </w:rPr>
            </w:pPr>
            <w:r>
              <w:rPr>
                <w:rFonts w:ascii="仿宋" w:eastAsia="仿宋" w:hAnsi="仿宋" w:cs="仿宋" w:hint="eastAsia"/>
              </w:rPr>
              <w:t>在教学或指导学生的过程中行为不当或发生责任事故等</w:t>
            </w:r>
          </w:p>
        </w:tc>
        <w:tc>
          <w:tcPr>
            <w:tcW w:w="2890" w:type="dxa"/>
            <w:vAlign w:val="center"/>
          </w:tcPr>
          <w:p w:rsidR="004C698D" w:rsidRDefault="006906BE">
            <w:pPr>
              <w:rPr>
                <w:rFonts w:ascii="仿宋" w:eastAsia="仿宋" w:hAnsi="仿宋" w:cs="仿宋"/>
              </w:rPr>
            </w:pPr>
            <w:r>
              <w:rPr>
                <w:rFonts w:ascii="仿宋" w:eastAsia="仿宋" w:hAnsi="仿宋" w:cs="仿宋" w:hint="eastAsia"/>
              </w:rPr>
              <w:t>暂停1年招生资格</w:t>
            </w:r>
          </w:p>
        </w:tc>
      </w:tr>
      <w:tr w:rsidR="004C698D">
        <w:trPr>
          <w:trHeight w:val="960"/>
          <w:jc w:val="center"/>
        </w:trPr>
        <w:tc>
          <w:tcPr>
            <w:tcW w:w="846" w:type="dxa"/>
            <w:vAlign w:val="center"/>
          </w:tcPr>
          <w:p w:rsidR="004C698D" w:rsidRDefault="006906BE">
            <w:pPr>
              <w:jc w:val="center"/>
              <w:rPr>
                <w:rFonts w:ascii="仿宋" w:eastAsia="仿宋" w:hAnsi="仿宋" w:cs="仿宋"/>
              </w:rPr>
            </w:pPr>
            <w:r>
              <w:rPr>
                <w:rFonts w:ascii="仿宋" w:eastAsia="仿宋" w:hAnsi="仿宋" w:cs="仿宋"/>
              </w:rPr>
              <w:t>6</w:t>
            </w:r>
          </w:p>
        </w:tc>
        <w:tc>
          <w:tcPr>
            <w:tcW w:w="4804" w:type="dxa"/>
            <w:vAlign w:val="center"/>
          </w:tcPr>
          <w:p w:rsidR="004C698D" w:rsidRDefault="006906BE">
            <w:pPr>
              <w:rPr>
                <w:rFonts w:ascii="仿宋" w:eastAsia="仿宋" w:hAnsi="仿宋" w:cs="仿宋"/>
              </w:rPr>
            </w:pPr>
            <w:r>
              <w:rPr>
                <w:rFonts w:ascii="仿宋" w:eastAsia="仿宋" w:hAnsi="仿宋" w:cs="仿宋" w:hint="eastAsia"/>
              </w:rPr>
              <w:t>在读研究生数已经超过我所规定上限</w:t>
            </w:r>
          </w:p>
        </w:tc>
        <w:tc>
          <w:tcPr>
            <w:tcW w:w="2890" w:type="dxa"/>
            <w:vAlign w:val="center"/>
          </w:tcPr>
          <w:p w:rsidR="004C698D" w:rsidRDefault="006906BE">
            <w:pPr>
              <w:rPr>
                <w:rFonts w:ascii="仿宋" w:eastAsia="仿宋" w:hAnsi="仿宋" w:cs="仿宋"/>
              </w:rPr>
            </w:pPr>
            <w:r>
              <w:rPr>
                <w:rFonts w:ascii="仿宋" w:eastAsia="仿宋" w:hAnsi="仿宋" w:cs="仿宋" w:hint="eastAsia"/>
              </w:rPr>
              <w:t>暂停1年招生资格</w:t>
            </w:r>
          </w:p>
        </w:tc>
      </w:tr>
      <w:tr w:rsidR="004C698D">
        <w:trPr>
          <w:trHeight w:val="960"/>
          <w:jc w:val="center"/>
        </w:trPr>
        <w:tc>
          <w:tcPr>
            <w:tcW w:w="846" w:type="dxa"/>
            <w:vAlign w:val="center"/>
          </w:tcPr>
          <w:p w:rsidR="004C698D" w:rsidRDefault="006906BE">
            <w:pPr>
              <w:jc w:val="center"/>
              <w:rPr>
                <w:rFonts w:ascii="仿宋" w:eastAsia="仿宋" w:hAnsi="仿宋" w:cs="仿宋"/>
              </w:rPr>
            </w:pPr>
            <w:r>
              <w:rPr>
                <w:rFonts w:ascii="仿宋" w:eastAsia="仿宋" w:hAnsi="仿宋" w:cs="仿宋" w:hint="eastAsia"/>
              </w:rPr>
              <w:t>7</w:t>
            </w:r>
          </w:p>
        </w:tc>
        <w:tc>
          <w:tcPr>
            <w:tcW w:w="4804" w:type="dxa"/>
            <w:vAlign w:val="center"/>
          </w:tcPr>
          <w:p w:rsidR="004C698D" w:rsidRDefault="006906BE">
            <w:pPr>
              <w:rPr>
                <w:rFonts w:ascii="仿宋" w:eastAsia="仿宋" w:hAnsi="仿宋" w:cs="仿宋"/>
              </w:rPr>
            </w:pPr>
            <w:r>
              <w:rPr>
                <w:rFonts w:ascii="仿宋" w:eastAsia="仿宋" w:hAnsi="仿宋" w:cs="仿宋" w:hint="eastAsia"/>
              </w:rPr>
              <w:t>无足够的时间和精力指导学生的课程学习和论文工作的，或因健康原因不能坚持正常教学和科研工作</w:t>
            </w:r>
          </w:p>
        </w:tc>
        <w:tc>
          <w:tcPr>
            <w:tcW w:w="2890" w:type="dxa"/>
            <w:vAlign w:val="center"/>
          </w:tcPr>
          <w:p w:rsidR="004C698D" w:rsidRDefault="006906BE">
            <w:pPr>
              <w:rPr>
                <w:rFonts w:ascii="仿宋" w:eastAsia="仿宋" w:hAnsi="仿宋" w:cs="仿宋"/>
              </w:rPr>
            </w:pPr>
            <w:r>
              <w:rPr>
                <w:rFonts w:ascii="仿宋" w:eastAsia="仿宋" w:hAnsi="仿宋" w:cs="仿宋" w:hint="eastAsia"/>
              </w:rPr>
              <w:t>限额招生或暂停次年招生资格</w:t>
            </w:r>
          </w:p>
        </w:tc>
      </w:tr>
      <w:tr w:rsidR="004C698D">
        <w:trPr>
          <w:trHeight w:val="960"/>
          <w:jc w:val="center"/>
        </w:trPr>
        <w:tc>
          <w:tcPr>
            <w:tcW w:w="846" w:type="dxa"/>
            <w:vAlign w:val="center"/>
          </w:tcPr>
          <w:p w:rsidR="004C698D" w:rsidRDefault="006906BE">
            <w:pPr>
              <w:jc w:val="center"/>
              <w:rPr>
                <w:rFonts w:ascii="仿宋" w:eastAsia="仿宋" w:hAnsi="仿宋" w:cs="仿宋"/>
              </w:rPr>
            </w:pPr>
            <w:r>
              <w:rPr>
                <w:rFonts w:ascii="仿宋" w:eastAsia="仿宋" w:hAnsi="仿宋" w:cs="仿宋" w:hint="eastAsia"/>
              </w:rPr>
              <w:t>8</w:t>
            </w:r>
          </w:p>
        </w:tc>
        <w:tc>
          <w:tcPr>
            <w:tcW w:w="4804" w:type="dxa"/>
            <w:vAlign w:val="center"/>
          </w:tcPr>
          <w:p w:rsidR="004C698D" w:rsidRDefault="006906BE">
            <w:pPr>
              <w:rPr>
                <w:rFonts w:ascii="仿宋" w:eastAsia="仿宋" w:hAnsi="仿宋" w:cs="仿宋"/>
              </w:rPr>
            </w:pPr>
            <w:r>
              <w:rPr>
                <w:rFonts w:ascii="仿宋" w:eastAsia="仿宋" w:hAnsi="仿宋" w:cs="仿宋" w:hint="eastAsia"/>
              </w:rPr>
              <w:t>无明确且相对稳定的研究方向和可供研究生作为学位论文课题的科研或科技开发任务</w:t>
            </w:r>
          </w:p>
        </w:tc>
        <w:tc>
          <w:tcPr>
            <w:tcW w:w="2890" w:type="dxa"/>
            <w:vAlign w:val="center"/>
          </w:tcPr>
          <w:p w:rsidR="004C698D" w:rsidRDefault="006906BE">
            <w:pPr>
              <w:rPr>
                <w:rFonts w:ascii="仿宋" w:eastAsia="仿宋" w:hAnsi="仿宋" w:cs="仿宋"/>
              </w:rPr>
            </w:pPr>
            <w:r>
              <w:rPr>
                <w:rFonts w:ascii="仿宋" w:eastAsia="仿宋" w:hAnsi="仿宋" w:cs="仿宋" w:hint="eastAsia"/>
              </w:rPr>
              <w:t>限额招生或暂停次年招生资格</w:t>
            </w:r>
          </w:p>
        </w:tc>
      </w:tr>
    </w:tbl>
    <w:p w:rsidR="004C698D" w:rsidRDefault="004C698D">
      <w:pPr>
        <w:rPr>
          <w:rFonts w:ascii="仿宋" w:eastAsia="仿宋" w:hAnsi="仿宋" w:cs="仿宋"/>
          <w:sz w:val="28"/>
          <w:szCs w:val="32"/>
        </w:rPr>
      </w:pPr>
    </w:p>
    <w:p w:rsidR="004C698D" w:rsidRDefault="004C698D">
      <w:pPr>
        <w:tabs>
          <w:tab w:val="left" w:pos="0"/>
        </w:tabs>
        <w:snapToGrid w:val="0"/>
        <w:spacing w:line="360" w:lineRule="auto"/>
        <w:ind w:left="2"/>
        <w:contextualSpacing/>
        <w:jc w:val="center"/>
        <w:rPr>
          <w:rFonts w:ascii="微软雅黑" w:eastAsia="微软雅黑" w:hAnsi="微软雅黑" w:cs="方正楷体简体"/>
          <w:b/>
          <w:sz w:val="32"/>
          <w:szCs w:val="32"/>
        </w:rPr>
      </w:pPr>
    </w:p>
    <w:p w:rsidR="004C698D" w:rsidRDefault="004C698D">
      <w:pPr>
        <w:tabs>
          <w:tab w:val="left" w:pos="0"/>
        </w:tabs>
        <w:snapToGrid w:val="0"/>
        <w:spacing w:line="360" w:lineRule="auto"/>
        <w:ind w:left="2"/>
        <w:contextualSpacing/>
        <w:jc w:val="center"/>
        <w:rPr>
          <w:rFonts w:ascii="微软雅黑" w:eastAsia="微软雅黑" w:hAnsi="微软雅黑" w:cs="方正楷体简体"/>
          <w:b/>
          <w:sz w:val="32"/>
          <w:szCs w:val="32"/>
        </w:rPr>
      </w:pPr>
    </w:p>
    <w:p w:rsidR="004C698D" w:rsidRDefault="004C698D">
      <w:pPr>
        <w:tabs>
          <w:tab w:val="left" w:pos="0"/>
        </w:tabs>
        <w:snapToGrid w:val="0"/>
        <w:spacing w:line="360" w:lineRule="auto"/>
        <w:ind w:left="2"/>
        <w:contextualSpacing/>
        <w:jc w:val="center"/>
        <w:rPr>
          <w:rFonts w:ascii="微软雅黑" w:eastAsia="微软雅黑" w:hAnsi="微软雅黑" w:cs="方正楷体简体"/>
          <w:b/>
          <w:sz w:val="32"/>
          <w:szCs w:val="32"/>
        </w:rPr>
      </w:pPr>
    </w:p>
    <w:sectPr w:rsidR="004C698D" w:rsidSect="00F10F9F">
      <w:footerReference w:type="default" r:id="rId10"/>
      <w:pgSz w:w="11906" w:h="16838"/>
      <w:pgMar w:top="1440" w:right="1226" w:bottom="1276" w:left="132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33" w:rsidRDefault="006D4633">
      <w:r>
        <w:separator/>
      </w:r>
    </w:p>
  </w:endnote>
  <w:endnote w:type="continuationSeparator" w:id="0">
    <w:p w:rsidR="006D4633" w:rsidRDefault="006D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EC" w:rsidRDefault="00B66FEC">
    <w:pPr>
      <w:pStyle w:val="a5"/>
    </w:pPr>
    <w:r>
      <w:rPr>
        <w:noProof/>
      </w:rPr>
      <mc:AlternateContent>
        <mc:Choice Requires="wps">
          <w:drawing>
            <wp:anchor distT="0" distB="0" distL="114300" distR="114300" simplePos="0" relativeHeight="251698176" behindDoc="0" locked="0" layoutInCell="1" allowOverlap="1" wp14:anchorId="31D03E8A" wp14:editId="1CFBF32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6FEC" w:rsidRDefault="00B66FEC">
                          <w:pPr>
                            <w:pStyle w:val="a5"/>
                          </w:pPr>
                          <w:r>
                            <w:rPr>
                              <w:rFonts w:hint="eastAsia"/>
                            </w:rPr>
                            <w:fldChar w:fldCharType="begin"/>
                          </w:r>
                          <w:r>
                            <w:rPr>
                              <w:rFonts w:hint="eastAsia"/>
                            </w:rPr>
                            <w:instrText xml:space="preserve"> PAGE  \* MERGEFORMAT </w:instrText>
                          </w:r>
                          <w:r>
                            <w:rPr>
                              <w:rFonts w:hint="eastAsia"/>
                            </w:rPr>
                            <w:fldChar w:fldCharType="separate"/>
                          </w:r>
                          <w:r w:rsidR="008A231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981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B66FEC" w:rsidRDefault="00B66FEC">
                    <w:pPr>
                      <w:pStyle w:val="a5"/>
                    </w:pPr>
                    <w:r>
                      <w:rPr>
                        <w:rFonts w:hint="eastAsia"/>
                      </w:rPr>
                      <w:fldChar w:fldCharType="begin"/>
                    </w:r>
                    <w:r>
                      <w:rPr>
                        <w:rFonts w:hint="eastAsia"/>
                      </w:rPr>
                      <w:instrText xml:space="preserve"> PAGE  \* MERGEFORMAT </w:instrText>
                    </w:r>
                    <w:r>
                      <w:rPr>
                        <w:rFonts w:hint="eastAsia"/>
                      </w:rPr>
                      <w:fldChar w:fldCharType="separate"/>
                    </w:r>
                    <w:r w:rsidR="008A2315">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33" w:rsidRDefault="006D4633">
      <w:r>
        <w:separator/>
      </w:r>
    </w:p>
  </w:footnote>
  <w:footnote w:type="continuationSeparator" w:id="0">
    <w:p w:rsidR="006D4633" w:rsidRDefault="006D4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6A44E"/>
    <w:multiLevelType w:val="singleLevel"/>
    <w:tmpl w:val="C866A44E"/>
    <w:lvl w:ilvl="0">
      <w:start w:val="1"/>
      <w:numFmt w:val="decimal"/>
      <w:lvlText w:val="%1."/>
      <w:lvlJc w:val="left"/>
      <w:pPr>
        <w:ind w:left="425" w:hanging="425"/>
      </w:pPr>
      <w:rPr>
        <w:rFonts w:hint="default"/>
      </w:rPr>
    </w:lvl>
  </w:abstractNum>
  <w:abstractNum w:abstractNumId="1">
    <w:nsid w:val="DFE46F0E"/>
    <w:multiLevelType w:val="singleLevel"/>
    <w:tmpl w:val="DFE46F0E"/>
    <w:lvl w:ilvl="0">
      <w:start w:val="6"/>
      <w:numFmt w:val="chineseCounting"/>
      <w:lvlText w:val="第%1章"/>
      <w:lvlJc w:val="left"/>
      <w:rPr>
        <w:rFonts w:hint="eastAsia"/>
      </w:rPr>
    </w:lvl>
  </w:abstractNum>
  <w:abstractNum w:abstractNumId="2">
    <w:nsid w:val="FD25296A"/>
    <w:multiLevelType w:val="singleLevel"/>
    <w:tmpl w:val="FD25296A"/>
    <w:lvl w:ilvl="0">
      <w:start w:val="1"/>
      <w:numFmt w:val="decimal"/>
      <w:suff w:val="space"/>
      <w:lvlText w:val="%1."/>
      <w:lvlJc w:val="left"/>
    </w:lvl>
  </w:abstractNum>
  <w:abstractNum w:abstractNumId="3">
    <w:nsid w:val="07886226"/>
    <w:multiLevelType w:val="singleLevel"/>
    <w:tmpl w:val="07886226"/>
    <w:lvl w:ilvl="0">
      <w:start w:val="1"/>
      <w:numFmt w:val="decimal"/>
      <w:suff w:val="space"/>
      <w:lvlText w:val="%1."/>
      <w:lvlJc w:val="left"/>
    </w:lvl>
  </w:abstractNum>
  <w:abstractNum w:abstractNumId="4">
    <w:nsid w:val="2978E783"/>
    <w:multiLevelType w:val="singleLevel"/>
    <w:tmpl w:val="2978E783"/>
    <w:lvl w:ilvl="0">
      <w:start w:val="1"/>
      <w:numFmt w:val="decimal"/>
      <w:suff w:val="space"/>
      <w:lvlText w:val="%1."/>
      <w:lvlJc w:val="left"/>
    </w:lvl>
  </w:abstractNum>
  <w:abstractNum w:abstractNumId="5">
    <w:nsid w:val="317F0B2E"/>
    <w:multiLevelType w:val="hybridMultilevel"/>
    <w:tmpl w:val="A6DA7F86"/>
    <w:lvl w:ilvl="0" w:tplc="1DCA0F26">
      <w:start w:val="1"/>
      <w:numFmt w:val="decimal"/>
      <w:lvlText w:val="%1."/>
      <w:lvlJc w:val="left"/>
      <w:pPr>
        <w:ind w:left="360" w:hanging="36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B5794D"/>
    <w:multiLevelType w:val="hybridMultilevel"/>
    <w:tmpl w:val="88A6CBD6"/>
    <w:lvl w:ilvl="0" w:tplc="6704933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A32208"/>
    <w:multiLevelType w:val="singleLevel"/>
    <w:tmpl w:val="41A32208"/>
    <w:lvl w:ilvl="0">
      <w:start w:val="1"/>
      <w:numFmt w:val="decimal"/>
      <w:lvlText w:val="%1."/>
      <w:lvlJc w:val="left"/>
      <w:pPr>
        <w:ind w:left="425" w:hanging="425"/>
      </w:pPr>
      <w:rPr>
        <w:rFonts w:hint="default"/>
      </w:rPr>
    </w:lvl>
  </w:abstractNum>
  <w:abstractNum w:abstractNumId="8">
    <w:nsid w:val="4D0446C3"/>
    <w:multiLevelType w:val="hybridMultilevel"/>
    <w:tmpl w:val="D8E086F4"/>
    <w:lvl w:ilvl="0" w:tplc="844854D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2036AD"/>
    <w:multiLevelType w:val="hybridMultilevel"/>
    <w:tmpl w:val="9C0E693C"/>
    <w:lvl w:ilvl="0" w:tplc="1B480074">
      <w:start w:val="1"/>
      <w:numFmt w:val="decimal"/>
      <w:lvlText w:val="%1."/>
      <w:lvlJc w:val="left"/>
      <w:pPr>
        <w:ind w:left="360" w:hanging="36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2"/>
  </w:num>
  <w:num w:numId="4">
    <w:abstractNumId w:val="3"/>
  </w:num>
  <w:num w:numId="5">
    <w:abstractNumId w:val="4"/>
  </w:num>
  <w:num w:numId="6">
    <w:abstractNumId w:val="1"/>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BF"/>
    <w:rsid w:val="000014F3"/>
    <w:rsid w:val="0001474C"/>
    <w:rsid w:val="00026C5D"/>
    <w:rsid w:val="000313B1"/>
    <w:rsid w:val="00046BF8"/>
    <w:rsid w:val="00055425"/>
    <w:rsid w:val="00077ED7"/>
    <w:rsid w:val="000A73BF"/>
    <w:rsid w:val="000B162A"/>
    <w:rsid w:val="000B4739"/>
    <w:rsid w:val="000C6ACC"/>
    <w:rsid w:val="001215F2"/>
    <w:rsid w:val="001270C0"/>
    <w:rsid w:val="00137CA4"/>
    <w:rsid w:val="001440B3"/>
    <w:rsid w:val="00150414"/>
    <w:rsid w:val="0015481F"/>
    <w:rsid w:val="001561DC"/>
    <w:rsid w:val="00167EC1"/>
    <w:rsid w:val="00181C6F"/>
    <w:rsid w:val="001902FF"/>
    <w:rsid w:val="00191E6C"/>
    <w:rsid w:val="001A1996"/>
    <w:rsid w:val="001A7375"/>
    <w:rsid w:val="001B2825"/>
    <w:rsid w:val="001D1E3B"/>
    <w:rsid w:val="001D3CE0"/>
    <w:rsid w:val="001F0259"/>
    <w:rsid w:val="002018CA"/>
    <w:rsid w:val="00227719"/>
    <w:rsid w:val="00233272"/>
    <w:rsid w:val="0027212C"/>
    <w:rsid w:val="00277026"/>
    <w:rsid w:val="00280679"/>
    <w:rsid w:val="0028472E"/>
    <w:rsid w:val="002963C0"/>
    <w:rsid w:val="002D4093"/>
    <w:rsid w:val="002E68A5"/>
    <w:rsid w:val="00314900"/>
    <w:rsid w:val="00356179"/>
    <w:rsid w:val="003A7176"/>
    <w:rsid w:val="003A73BF"/>
    <w:rsid w:val="003B256E"/>
    <w:rsid w:val="003D0F35"/>
    <w:rsid w:val="003D76B2"/>
    <w:rsid w:val="00413A26"/>
    <w:rsid w:val="00433F37"/>
    <w:rsid w:val="00451230"/>
    <w:rsid w:val="00456019"/>
    <w:rsid w:val="0047086F"/>
    <w:rsid w:val="0049580E"/>
    <w:rsid w:val="004B12BC"/>
    <w:rsid w:val="004B7E34"/>
    <w:rsid w:val="004C698D"/>
    <w:rsid w:val="004E0D1C"/>
    <w:rsid w:val="004E5002"/>
    <w:rsid w:val="004E79DE"/>
    <w:rsid w:val="00512EAC"/>
    <w:rsid w:val="0052210F"/>
    <w:rsid w:val="005626A9"/>
    <w:rsid w:val="00590497"/>
    <w:rsid w:val="00595DAE"/>
    <w:rsid w:val="005B3AE5"/>
    <w:rsid w:val="005C725D"/>
    <w:rsid w:val="005D4BF6"/>
    <w:rsid w:val="00600C66"/>
    <w:rsid w:val="00605A67"/>
    <w:rsid w:val="006076A5"/>
    <w:rsid w:val="00637925"/>
    <w:rsid w:val="00643920"/>
    <w:rsid w:val="0065138D"/>
    <w:rsid w:val="00651994"/>
    <w:rsid w:val="006565D6"/>
    <w:rsid w:val="006664B6"/>
    <w:rsid w:val="00685964"/>
    <w:rsid w:val="00687049"/>
    <w:rsid w:val="006906BE"/>
    <w:rsid w:val="006A0153"/>
    <w:rsid w:val="006A18CA"/>
    <w:rsid w:val="006B5636"/>
    <w:rsid w:val="006C0100"/>
    <w:rsid w:val="006C7B9D"/>
    <w:rsid w:val="006D209B"/>
    <w:rsid w:val="006D4633"/>
    <w:rsid w:val="006E14C7"/>
    <w:rsid w:val="006F1A4E"/>
    <w:rsid w:val="00724D18"/>
    <w:rsid w:val="007712D5"/>
    <w:rsid w:val="0077352B"/>
    <w:rsid w:val="00787300"/>
    <w:rsid w:val="00787505"/>
    <w:rsid w:val="0079417B"/>
    <w:rsid w:val="007E0988"/>
    <w:rsid w:val="007E2C23"/>
    <w:rsid w:val="00817056"/>
    <w:rsid w:val="00844D96"/>
    <w:rsid w:val="00862914"/>
    <w:rsid w:val="00872FDC"/>
    <w:rsid w:val="0087490C"/>
    <w:rsid w:val="00877A72"/>
    <w:rsid w:val="0089244E"/>
    <w:rsid w:val="008A2315"/>
    <w:rsid w:val="008A6CA9"/>
    <w:rsid w:val="008A7617"/>
    <w:rsid w:val="008B656A"/>
    <w:rsid w:val="008D1E02"/>
    <w:rsid w:val="008D4E6C"/>
    <w:rsid w:val="008D6089"/>
    <w:rsid w:val="00941A29"/>
    <w:rsid w:val="00950B53"/>
    <w:rsid w:val="00975EF1"/>
    <w:rsid w:val="009828FC"/>
    <w:rsid w:val="0098501B"/>
    <w:rsid w:val="00992E88"/>
    <w:rsid w:val="009B6E6A"/>
    <w:rsid w:val="009B7905"/>
    <w:rsid w:val="009C5276"/>
    <w:rsid w:val="009C5F4D"/>
    <w:rsid w:val="009E0467"/>
    <w:rsid w:val="009E04B9"/>
    <w:rsid w:val="009E56C0"/>
    <w:rsid w:val="009F4B0A"/>
    <w:rsid w:val="00A049E6"/>
    <w:rsid w:val="00A10663"/>
    <w:rsid w:val="00A218E1"/>
    <w:rsid w:val="00A31C35"/>
    <w:rsid w:val="00A430E4"/>
    <w:rsid w:val="00A532A7"/>
    <w:rsid w:val="00A63BD1"/>
    <w:rsid w:val="00A66D40"/>
    <w:rsid w:val="00A67CE8"/>
    <w:rsid w:val="00AB2880"/>
    <w:rsid w:val="00AB5096"/>
    <w:rsid w:val="00AC218C"/>
    <w:rsid w:val="00AC4B4D"/>
    <w:rsid w:val="00AC5AF5"/>
    <w:rsid w:val="00AC5D17"/>
    <w:rsid w:val="00AE646E"/>
    <w:rsid w:val="00B0694B"/>
    <w:rsid w:val="00B53E7E"/>
    <w:rsid w:val="00B6465F"/>
    <w:rsid w:val="00B66FEC"/>
    <w:rsid w:val="00B80EDF"/>
    <w:rsid w:val="00B9288E"/>
    <w:rsid w:val="00BA1B7E"/>
    <w:rsid w:val="00BC1CC8"/>
    <w:rsid w:val="00BC1D4E"/>
    <w:rsid w:val="00BD537F"/>
    <w:rsid w:val="00BE076F"/>
    <w:rsid w:val="00BE69D6"/>
    <w:rsid w:val="00C14C18"/>
    <w:rsid w:val="00C311C1"/>
    <w:rsid w:val="00C512D1"/>
    <w:rsid w:val="00C84387"/>
    <w:rsid w:val="00C92C0D"/>
    <w:rsid w:val="00CA505F"/>
    <w:rsid w:val="00CA6D56"/>
    <w:rsid w:val="00CA7885"/>
    <w:rsid w:val="00CE1D40"/>
    <w:rsid w:val="00CE79C1"/>
    <w:rsid w:val="00D13B9D"/>
    <w:rsid w:val="00D141A5"/>
    <w:rsid w:val="00D262AC"/>
    <w:rsid w:val="00D27A28"/>
    <w:rsid w:val="00D405CE"/>
    <w:rsid w:val="00D566CC"/>
    <w:rsid w:val="00D81426"/>
    <w:rsid w:val="00D84EAB"/>
    <w:rsid w:val="00D87720"/>
    <w:rsid w:val="00D959B8"/>
    <w:rsid w:val="00DB752D"/>
    <w:rsid w:val="00DD277E"/>
    <w:rsid w:val="00DF451E"/>
    <w:rsid w:val="00DF79A9"/>
    <w:rsid w:val="00E0376B"/>
    <w:rsid w:val="00E066C8"/>
    <w:rsid w:val="00E124F8"/>
    <w:rsid w:val="00E1631E"/>
    <w:rsid w:val="00E16D80"/>
    <w:rsid w:val="00E20ABA"/>
    <w:rsid w:val="00E26857"/>
    <w:rsid w:val="00E42E94"/>
    <w:rsid w:val="00E4560D"/>
    <w:rsid w:val="00E46CAE"/>
    <w:rsid w:val="00E62BC5"/>
    <w:rsid w:val="00E81527"/>
    <w:rsid w:val="00E933E2"/>
    <w:rsid w:val="00EA3AAD"/>
    <w:rsid w:val="00EB112C"/>
    <w:rsid w:val="00EB23B2"/>
    <w:rsid w:val="00EE1294"/>
    <w:rsid w:val="00EE420B"/>
    <w:rsid w:val="00EE6DDF"/>
    <w:rsid w:val="00EF04F8"/>
    <w:rsid w:val="00EF507A"/>
    <w:rsid w:val="00EF6A20"/>
    <w:rsid w:val="00F062DB"/>
    <w:rsid w:val="00F10F9F"/>
    <w:rsid w:val="00F1191D"/>
    <w:rsid w:val="00F20229"/>
    <w:rsid w:val="00F2549E"/>
    <w:rsid w:val="00F313D9"/>
    <w:rsid w:val="00F330D6"/>
    <w:rsid w:val="00F36C21"/>
    <w:rsid w:val="00F42FB8"/>
    <w:rsid w:val="00F47031"/>
    <w:rsid w:val="00F51583"/>
    <w:rsid w:val="00F62BA3"/>
    <w:rsid w:val="00F669B6"/>
    <w:rsid w:val="00F73B08"/>
    <w:rsid w:val="00F7627A"/>
    <w:rsid w:val="00F901B8"/>
    <w:rsid w:val="00FA4792"/>
    <w:rsid w:val="00FC306B"/>
    <w:rsid w:val="00FE7BD8"/>
    <w:rsid w:val="00FF1095"/>
    <w:rsid w:val="0A990D02"/>
    <w:rsid w:val="0B2A5367"/>
    <w:rsid w:val="1446097B"/>
    <w:rsid w:val="145F134F"/>
    <w:rsid w:val="16407D05"/>
    <w:rsid w:val="16545767"/>
    <w:rsid w:val="19FA75B9"/>
    <w:rsid w:val="21CC7323"/>
    <w:rsid w:val="28A84BA9"/>
    <w:rsid w:val="2B912176"/>
    <w:rsid w:val="368E1B68"/>
    <w:rsid w:val="39343187"/>
    <w:rsid w:val="395C6BAC"/>
    <w:rsid w:val="3AD51685"/>
    <w:rsid w:val="3B121286"/>
    <w:rsid w:val="3C2F6509"/>
    <w:rsid w:val="3F321850"/>
    <w:rsid w:val="405C319F"/>
    <w:rsid w:val="44265282"/>
    <w:rsid w:val="47F427CA"/>
    <w:rsid w:val="4B610B79"/>
    <w:rsid w:val="4D300B53"/>
    <w:rsid w:val="4E5C571F"/>
    <w:rsid w:val="50CC769D"/>
    <w:rsid w:val="52505BAF"/>
    <w:rsid w:val="57391BEA"/>
    <w:rsid w:val="59A13E38"/>
    <w:rsid w:val="5CA00CB9"/>
    <w:rsid w:val="637269E4"/>
    <w:rsid w:val="63AB5289"/>
    <w:rsid w:val="645E0BDD"/>
    <w:rsid w:val="6CAA6606"/>
    <w:rsid w:val="6DB01F72"/>
    <w:rsid w:val="717E53BE"/>
    <w:rsid w:val="71801FA8"/>
    <w:rsid w:val="77556239"/>
    <w:rsid w:val="78E708F6"/>
    <w:rsid w:val="795A54F8"/>
    <w:rsid w:val="7CFF5555"/>
    <w:rsid w:val="7E453680"/>
    <w:rsid w:val="7E9A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Shading 2 Accent 1"/>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pPr>
      <w:widowControl w:val="0"/>
      <w:autoSpaceDE w:val="0"/>
      <w:autoSpaceDN w:val="0"/>
      <w:adjustRightInd w:val="0"/>
    </w:pPr>
    <w:rPr>
      <w:rFonts w:ascii="华文中宋" w:eastAsia="华文中宋" w:hAnsiTheme="minorHAnsi" w:cs="华文中宋"/>
      <w:color w:val="000000"/>
      <w:sz w:val="24"/>
      <w:szCs w:val="24"/>
    </w:rPr>
  </w:style>
  <w:style w:type="character" w:customStyle="1" w:styleId="Char2">
    <w:name w:val="页眉 Char"/>
    <w:basedOn w:val="a0"/>
    <w:link w:val="a6"/>
    <w:qFormat/>
    <w:rPr>
      <w:rFonts w:ascii="宋体" w:eastAsia="宋体" w:hAnsi="宋体" w:cs="宋体"/>
      <w:sz w:val="18"/>
      <w:szCs w:val="18"/>
    </w:rPr>
  </w:style>
  <w:style w:type="character" w:customStyle="1" w:styleId="Char1">
    <w:name w:val="页脚 Char"/>
    <w:basedOn w:val="a0"/>
    <w:link w:val="a5"/>
    <w:uiPriority w:val="99"/>
    <w:qFormat/>
    <w:rPr>
      <w:rFonts w:ascii="宋体" w:eastAsia="宋体" w:hAnsi="宋体" w:cs="宋体"/>
      <w:sz w:val="18"/>
      <w:szCs w:val="18"/>
    </w:rPr>
  </w:style>
  <w:style w:type="paragraph" w:styleId="a8">
    <w:name w:val="List Paragraph"/>
    <w:basedOn w:val="a"/>
    <w:uiPriority w:val="99"/>
    <w:unhideWhenUsed/>
    <w:qFormat/>
    <w:pPr>
      <w:ind w:firstLineChars="200" w:firstLine="420"/>
    </w:pPr>
  </w:style>
  <w:style w:type="character" w:customStyle="1" w:styleId="Char0">
    <w:name w:val="批注框文本 Char"/>
    <w:basedOn w:val="a0"/>
    <w:link w:val="a4"/>
    <w:qFormat/>
    <w:rPr>
      <w:rFonts w:ascii="宋体" w:eastAsia="宋体" w:hAnsi="宋体" w:cs="宋体"/>
      <w:sz w:val="18"/>
      <w:szCs w:val="18"/>
    </w:rPr>
  </w:style>
  <w:style w:type="character" w:customStyle="1" w:styleId="Char">
    <w:name w:val="日期 Char"/>
    <w:basedOn w:val="a0"/>
    <w:link w:val="a3"/>
    <w:qFormat/>
    <w:rPr>
      <w:rFonts w:ascii="宋体" w:eastAsia="宋体" w:hAnsi="宋体" w:cs="宋体"/>
      <w:sz w:val="24"/>
      <w:szCs w:val="24"/>
    </w:rPr>
  </w:style>
  <w:style w:type="paragraph" w:customStyle="1" w:styleId="WPSOffice1">
    <w:name w:val="WPSOffice手动目录 1"/>
    <w:qFormat/>
  </w:style>
  <w:style w:type="paragraph" w:styleId="TOC">
    <w:name w:val="TOC Heading"/>
    <w:basedOn w:val="1"/>
    <w:next w:val="a"/>
    <w:uiPriority w:val="39"/>
    <w:semiHidden/>
    <w:unhideWhenUsed/>
    <w:qFormat/>
    <w:rsid w:val="005D4BF6"/>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
    <w:name w:val="toc 2"/>
    <w:basedOn w:val="a"/>
    <w:next w:val="a"/>
    <w:autoRedefine/>
    <w:uiPriority w:val="39"/>
    <w:unhideWhenUsed/>
    <w:qFormat/>
    <w:rsid w:val="005D4BF6"/>
    <w:pPr>
      <w:spacing w:after="100" w:line="276" w:lineRule="auto"/>
      <w:ind w:left="220"/>
    </w:pPr>
    <w:rPr>
      <w:rFonts w:asciiTheme="minorHAnsi" w:eastAsiaTheme="minorEastAsia" w:hAnsiTheme="minorHAnsi" w:cstheme="minorBidi"/>
      <w:sz w:val="22"/>
      <w:szCs w:val="22"/>
    </w:rPr>
  </w:style>
  <w:style w:type="paragraph" w:styleId="10">
    <w:name w:val="toc 1"/>
    <w:basedOn w:val="a"/>
    <w:next w:val="a"/>
    <w:autoRedefine/>
    <w:uiPriority w:val="39"/>
    <w:unhideWhenUsed/>
    <w:qFormat/>
    <w:rsid w:val="005D4BF6"/>
    <w:pPr>
      <w:tabs>
        <w:tab w:val="right" w:leader="dot" w:pos="9350"/>
      </w:tabs>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unhideWhenUsed/>
    <w:qFormat/>
    <w:rsid w:val="005D4BF6"/>
    <w:pPr>
      <w:spacing w:after="100" w:line="276" w:lineRule="auto"/>
      <w:ind w:left="440"/>
    </w:pPr>
    <w:rPr>
      <w:rFonts w:asciiTheme="minorHAnsi" w:eastAsiaTheme="minorEastAsia" w:hAnsiTheme="minorHAnsi" w:cstheme="minorBidi"/>
      <w:sz w:val="22"/>
      <w:szCs w:val="22"/>
    </w:rPr>
  </w:style>
  <w:style w:type="character" w:styleId="a9">
    <w:name w:val="Hyperlink"/>
    <w:basedOn w:val="a0"/>
    <w:uiPriority w:val="99"/>
    <w:unhideWhenUsed/>
    <w:rsid w:val="005D4B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Shading 2 Accent 1"/>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pPr>
      <w:widowControl w:val="0"/>
      <w:autoSpaceDE w:val="0"/>
      <w:autoSpaceDN w:val="0"/>
      <w:adjustRightInd w:val="0"/>
    </w:pPr>
    <w:rPr>
      <w:rFonts w:ascii="华文中宋" w:eastAsia="华文中宋" w:hAnsiTheme="minorHAnsi" w:cs="华文中宋"/>
      <w:color w:val="000000"/>
      <w:sz w:val="24"/>
      <w:szCs w:val="24"/>
    </w:rPr>
  </w:style>
  <w:style w:type="character" w:customStyle="1" w:styleId="Char2">
    <w:name w:val="页眉 Char"/>
    <w:basedOn w:val="a0"/>
    <w:link w:val="a6"/>
    <w:qFormat/>
    <w:rPr>
      <w:rFonts w:ascii="宋体" w:eastAsia="宋体" w:hAnsi="宋体" w:cs="宋体"/>
      <w:sz w:val="18"/>
      <w:szCs w:val="18"/>
    </w:rPr>
  </w:style>
  <w:style w:type="character" w:customStyle="1" w:styleId="Char1">
    <w:name w:val="页脚 Char"/>
    <w:basedOn w:val="a0"/>
    <w:link w:val="a5"/>
    <w:uiPriority w:val="99"/>
    <w:qFormat/>
    <w:rPr>
      <w:rFonts w:ascii="宋体" w:eastAsia="宋体" w:hAnsi="宋体" w:cs="宋体"/>
      <w:sz w:val="18"/>
      <w:szCs w:val="18"/>
    </w:rPr>
  </w:style>
  <w:style w:type="paragraph" w:styleId="a8">
    <w:name w:val="List Paragraph"/>
    <w:basedOn w:val="a"/>
    <w:uiPriority w:val="99"/>
    <w:unhideWhenUsed/>
    <w:qFormat/>
    <w:pPr>
      <w:ind w:firstLineChars="200" w:firstLine="420"/>
    </w:pPr>
  </w:style>
  <w:style w:type="character" w:customStyle="1" w:styleId="Char0">
    <w:name w:val="批注框文本 Char"/>
    <w:basedOn w:val="a0"/>
    <w:link w:val="a4"/>
    <w:qFormat/>
    <w:rPr>
      <w:rFonts w:ascii="宋体" w:eastAsia="宋体" w:hAnsi="宋体" w:cs="宋体"/>
      <w:sz w:val="18"/>
      <w:szCs w:val="18"/>
    </w:rPr>
  </w:style>
  <w:style w:type="character" w:customStyle="1" w:styleId="Char">
    <w:name w:val="日期 Char"/>
    <w:basedOn w:val="a0"/>
    <w:link w:val="a3"/>
    <w:qFormat/>
    <w:rPr>
      <w:rFonts w:ascii="宋体" w:eastAsia="宋体" w:hAnsi="宋体" w:cs="宋体"/>
      <w:sz w:val="24"/>
      <w:szCs w:val="24"/>
    </w:rPr>
  </w:style>
  <w:style w:type="paragraph" w:customStyle="1" w:styleId="WPSOffice1">
    <w:name w:val="WPSOffice手动目录 1"/>
    <w:qFormat/>
  </w:style>
  <w:style w:type="paragraph" w:styleId="TOC">
    <w:name w:val="TOC Heading"/>
    <w:basedOn w:val="1"/>
    <w:next w:val="a"/>
    <w:uiPriority w:val="39"/>
    <w:semiHidden/>
    <w:unhideWhenUsed/>
    <w:qFormat/>
    <w:rsid w:val="005D4BF6"/>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
    <w:name w:val="toc 2"/>
    <w:basedOn w:val="a"/>
    <w:next w:val="a"/>
    <w:autoRedefine/>
    <w:uiPriority w:val="39"/>
    <w:unhideWhenUsed/>
    <w:qFormat/>
    <w:rsid w:val="005D4BF6"/>
    <w:pPr>
      <w:spacing w:after="100" w:line="276" w:lineRule="auto"/>
      <w:ind w:left="220"/>
    </w:pPr>
    <w:rPr>
      <w:rFonts w:asciiTheme="minorHAnsi" w:eastAsiaTheme="minorEastAsia" w:hAnsiTheme="minorHAnsi" w:cstheme="minorBidi"/>
      <w:sz w:val="22"/>
      <w:szCs w:val="22"/>
    </w:rPr>
  </w:style>
  <w:style w:type="paragraph" w:styleId="10">
    <w:name w:val="toc 1"/>
    <w:basedOn w:val="a"/>
    <w:next w:val="a"/>
    <w:autoRedefine/>
    <w:uiPriority w:val="39"/>
    <w:unhideWhenUsed/>
    <w:qFormat/>
    <w:rsid w:val="005D4BF6"/>
    <w:pPr>
      <w:tabs>
        <w:tab w:val="right" w:leader="dot" w:pos="9350"/>
      </w:tabs>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unhideWhenUsed/>
    <w:qFormat/>
    <w:rsid w:val="005D4BF6"/>
    <w:pPr>
      <w:spacing w:after="100" w:line="276" w:lineRule="auto"/>
      <w:ind w:left="440"/>
    </w:pPr>
    <w:rPr>
      <w:rFonts w:asciiTheme="minorHAnsi" w:eastAsiaTheme="minorEastAsia" w:hAnsiTheme="minorHAnsi" w:cstheme="minorBidi"/>
      <w:sz w:val="22"/>
      <w:szCs w:val="22"/>
    </w:rPr>
  </w:style>
  <w:style w:type="character" w:styleId="a9">
    <w:name w:val="Hyperlink"/>
    <w:basedOn w:val="a0"/>
    <w:uiPriority w:val="99"/>
    <w:unhideWhenUsed/>
    <w:rsid w:val="005D4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3485">
      <w:bodyDiv w:val="1"/>
      <w:marLeft w:val="0"/>
      <w:marRight w:val="0"/>
      <w:marTop w:val="0"/>
      <w:marBottom w:val="0"/>
      <w:divBdr>
        <w:top w:val="none" w:sz="0" w:space="0" w:color="auto"/>
        <w:left w:val="none" w:sz="0" w:space="0" w:color="auto"/>
        <w:bottom w:val="none" w:sz="0" w:space="0" w:color="auto"/>
        <w:right w:val="none" w:sz="0" w:space="0" w:color="auto"/>
      </w:divBdr>
    </w:div>
    <w:div w:id="880366779">
      <w:bodyDiv w:val="1"/>
      <w:marLeft w:val="0"/>
      <w:marRight w:val="0"/>
      <w:marTop w:val="0"/>
      <w:marBottom w:val="0"/>
      <w:divBdr>
        <w:top w:val="none" w:sz="0" w:space="0" w:color="auto"/>
        <w:left w:val="none" w:sz="0" w:space="0" w:color="auto"/>
        <w:bottom w:val="none" w:sz="0" w:space="0" w:color="auto"/>
        <w:right w:val="none" w:sz="0" w:space="0" w:color="auto"/>
      </w:divBdr>
    </w:div>
    <w:div w:id="983512361">
      <w:bodyDiv w:val="1"/>
      <w:marLeft w:val="0"/>
      <w:marRight w:val="0"/>
      <w:marTop w:val="0"/>
      <w:marBottom w:val="0"/>
      <w:divBdr>
        <w:top w:val="none" w:sz="0" w:space="0" w:color="auto"/>
        <w:left w:val="none" w:sz="0" w:space="0" w:color="auto"/>
        <w:bottom w:val="none" w:sz="0" w:space="0" w:color="auto"/>
        <w:right w:val="none" w:sz="0" w:space="0" w:color="auto"/>
      </w:divBdr>
    </w:div>
    <w:div w:id="2001081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5BA0A-20BA-4FFF-B5CA-A7A48A37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2022-11-23T03:56:00Z</cp:lastPrinted>
  <dcterms:created xsi:type="dcterms:W3CDTF">2023-03-03T04:59:00Z</dcterms:created>
  <dcterms:modified xsi:type="dcterms:W3CDTF">2023-03-03T04:59:00Z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